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after="1000" w:line="560" w:lineRule="exact"/>
        <w:jc w:val="center"/>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证券代码：002043         证券简称：兔 宝 宝                公告编号：</w:t>
      </w:r>
      <w:r>
        <w:rPr>
          <w:rFonts w:hint="eastAsia" w:ascii="宋体" w:hAnsi="宋体" w:cs="宋体"/>
          <w:sz w:val="24"/>
          <w:szCs w:val="24"/>
          <w:highlight w:val="none"/>
          <w:lang w:val="en-US" w:eastAsia="zh-CN"/>
        </w:rPr>
        <w:t>2023-032</w:t>
      </w:r>
    </w:p>
    <w:p>
      <w:pPr>
        <w:spacing w:before="200" w:after="200" w:line="400" w:lineRule="exact"/>
        <w:jc w:val="center"/>
        <w:rPr>
          <w:rFonts w:ascii="宋体" w:hAnsi="宋体" w:eastAsia="宋体" w:cs="宋体"/>
          <w:b/>
          <w:bCs/>
          <w:sz w:val="32"/>
          <w:szCs w:val="32"/>
          <w:highlight w:val="none"/>
        </w:rPr>
      </w:pPr>
      <w:r>
        <w:rPr>
          <w:rFonts w:ascii="宋体" w:hAnsi="宋体" w:eastAsia="宋体" w:cs="宋体"/>
          <w:b/>
          <w:bCs/>
          <w:sz w:val="32"/>
          <w:szCs w:val="32"/>
          <w:highlight w:val="none"/>
        </w:rPr>
        <w:t>德华兔宝宝装饰新材股份有限公司</w:t>
      </w:r>
    </w:p>
    <w:p>
      <w:pPr>
        <w:spacing w:before="200" w:after="200" w:line="400" w:lineRule="exact"/>
        <w:jc w:val="center"/>
        <w:rPr>
          <w:rFonts w:ascii="宋体" w:hAnsi="宋体" w:eastAsia="宋体" w:cs="宋体"/>
          <w:b/>
          <w:bCs/>
          <w:sz w:val="32"/>
          <w:szCs w:val="32"/>
          <w:highlight w:val="none"/>
        </w:rPr>
      </w:pPr>
      <w:r>
        <w:rPr>
          <w:rFonts w:ascii="宋体" w:hAnsi="宋体" w:eastAsia="宋体" w:cs="宋体"/>
          <w:b/>
          <w:bCs/>
          <w:sz w:val="32"/>
          <w:szCs w:val="32"/>
          <w:highlight w:val="none"/>
        </w:rPr>
        <w:t>2023年第一季度报告</w:t>
      </w:r>
    </w:p>
    <w:p>
      <w:pPr>
        <w:pBdr>
          <w:top w:val="single" w:color="auto" w:sz="4" w:space="1"/>
          <w:left w:val="single" w:color="auto" w:sz="4" w:space="4"/>
          <w:bottom w:val="single" w:color="auto" w:sz="4" w:space="1"/>
          <w:right w:val="single" w:color="auto" w:sz="4" w:space="4"/>
        </w:pBdr>
        <w:spacing w:before="100" w:after="100" w:line="40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本公司及董事会全体成员保证信息披露的内容真实、准确、完整，没有虚假记载、误导性陈述或重大遗漏。</w:t>
      </w:r>
    </w:p>
    <w:p>
      <w:pPr>
        <w:spacing w:before="40" w:after="40" w:line="420" w:lineRule="exact"/>
        <w:jc w:val="left"/>
        <w:rPr>
          <w:rFonts w:ascii="宋体" w:hAnsi="宋体" w:eastAsia="宋体" w:cs="宋体"/>
          <w:b/>
          <w:bCs/>
          <w:sz w:val="24"/>
          <w:szCs w:val="24"/>
          <w:highlight w:val="none"/>
        </w:rPr>
      </w:pPr>
      <w:r>
        <w:rPr>
          <w:rFonts w:ascii="宋体" w:hAnsi="宋体" w:eastAsia="宋体" w:cs="宋体"/>
          <w:b/>
          <w:bCs/>
          <w:sz w:val="24"/>
          <w:szCs w:val="24"/>
          <w:highlight w:val="none"/>
        </w:rPr>
        <w:t>重要内容提示：</w:t>
      </w:r>
    </w:p>
    <w:p>
      <w:pPr>
        <w:spacing w:before="100" w:after="100" w:line="400" w:lineRule="exact"/>
        <w:jc w:val="left"/>
        <w:rPr>
          <w:rFonts w:ascii="宋体" w:hAnsi="宋体" w:eastAsia="宋体" w:cs="宋体"/>
          <w:sz w:val="18"/>
          <w:szCs w:val="18"/>
          <w:highlight w:val="none"/>
        </w:rPr>
      </w:pPr>
      <w:r>
        <w:rPr>
          <w:rFonts w:ascii="宋体" w:hAnsi="宋体" w:eastAsia="宋体" w:cs="宋体"/>
          <w:sz w:val="18"/>
          <w:szCs w:val="18"/>
          <w:highlight w:val="none"/>
        </w:rPr>
        <w:t>1.董事会、监事会及董事、监事、高级管理人员保证季度报告的真实、准确、完整，不存在虚假记载、误导性陈述或重大遗漏，并承担个别和连带的法律责任。</w:t>
      </w:r>
    </w:p>
    <w:p>
      <w:pPr>
        <w:spacing w:before="100" w:after="100" w:line="400" w:lineRule="exact"/>
        <w:jc w:val="left"/>
        <w:rPr>
          <w:rFonts w:ascii="宋体" w:hAnsi="宋体" w:eastAsia="宋体" w:cs="宋体"/>
          <w:sz w:val="18"/>
          <w:szCs w:val="18"/>
          <w:highlight w:val="none"/>
        </w:rPr>
      </w:pPr>
      <w:r>
        <w:rPr>
          <w:rFonts w:ascii="宋体" w:hAnsi="宋体" w:eastAsia="宋体" w:cs="宋体"/>
          <w:sz w:val="18"/>
          <w:szCs w:val="18"/>
          <w:highlight w:val="none"/>
        </w:rPr>
        <w:t>2.公司负责人、主管会计工作负责人及会计机构负责人(会计主管人员)声明：保证季度报告中财务信息的真实、准确、完整。</w:t>
      </w:r>
    </w:p>
    <w:p>
      <w:pPr>
        <w:spacing w:before="100" w:after="100" w:line="400" w:lineRule="exact"/>
        <w:jc w:val="left"/>
        <w:rPr>
          <w:rFonts w:ascii="宋体" w:hAnsi="宋体" w:eastAsia="宋体" w:cs="宋体"/>
          <w:sz w:val="18"/>
          <w:szCs w:val="18"/>
          <w:highlight w:val="none"/>
        </w:rPr>
      </w:pPr>
      <w:r>
        <w:rPr>
          <w:rFonts w:ascii="宋体" w:hAnsi="宋体" w:eastAsia="宋体" w:cs="宋体"/>
          <w:sz w:val="18"/>
          <w:szCs w:val="18"/>
          <w:highlight w:val="none"/>
        </w:rPr>
        <w:t>3.第一季度报告是否经审计</w:t>
      </w:r>
    </w:p>
    <w:p>
      <w:pPr>
        <w:spacing w:before="100" w:after="100" w:line="400" w:lineRule="exact"/>
        <w:jc w:val="left"/>
        <w:rPr>
          <w:rFonts w:ascii="宋体" w:hAnsi="宋体" w:eastAsia="宋体" w:cs="宋体"/>
          <w:sz w:val="18"/>
          <w:szCs w:val="18"/>
          <w:highlight w:val="none"/>
        </w:rPr>
      </w:pPr>
      <w:r>
        <w:rPr>
          <w:rFonts w:ascii="宋体" w:hAnsi="宋体" w:eastAsia="宋体" w:cs="宋体"/>
          <w:sz w:val="18"/>
          <w:szCs w:val="18"/>
          <w:highlight w:val="none"/>
        </w:rPr>
        <w:t xml:space="preserve">□是 </w:t>
      </w:r>
      <w:r>
        <w:rPr>
          <w:rFonts w:ascii="宋体" w:hAnsi="宋体" w:eastAsia="宋体" w:cs="宋体"/>
          <w:sz w:val="18"/>
          <w:szCs w:val="18"/>
          <w:highlight w:val="none"/>
        </w:rPr>
        <w:sym w:font="Wingdings 2" w:char="F052"/>
      </w:r>
      <w:r>
        <w:rPr>
          <w:rFonts w:ascii="宋体" w:hAnsi="宋体" w:eastAsia="宋体" w:cs="宋体"/>
          <w:sz w:val="18"/>
          <w:szCs w:val="18"/>
          <w:highlight w:val="none"/>
        </w:rPr>
        <w:t>否</w:t>
      </w:r>
    </w:p>
    <w:p>
      <w:pPr>
        <w:keepNext/>
        <w:keepLines/>
        <w:spacing w:before="300" w:after="300" w:line="320" w:lineRule="exact"/>
        <w:jc w:val="left"/>
        <w:outlineLvl w:val="0"/>
        <w:rPr>
          <w:rFonts w:ascii="宋体" w:hAnsi="宋体" w:eastAsia="宋体" w:cs="宋体"/>
          <w:b/>
          <w:bCs/>
          <w:sz w:val="24"/>
          <w:szCs w:val="24"/>
          <w:highlight w:val="none"/>
        </w:rPr>
      </w:pPr>
      <w:bookmarkStart w:id="0" w:name="_Toc988889"/>
      <w:r>
        <w:rPr>
          <w:rFonts w:ascii="宋体" w:hAnsi="宋体" w:eastAsia="宋体" w:cs="宋体"/>
          <w:b/>
          <w:bCs/>
          <w:sz w:val="24"/>
          <w:szCs w:val="24"/>
          <w:highlight w:val="none"/>
        </w:rPr>
        <w:t>一、主要财务数据</w:t>
      </w:r>
      <w:bookmarkEnd w:id="0"/>
    </w:p>
    <w:p>
      <w:pPr>
        <w:keepNext/>
        <w:keepLines/>
        <w:spacing w:before="300" w:after="300" w:line="280" w:lineRule="exact"/>
        <w:jc w:val="left"/>
        <w:outlineLvl w:val="1"/>
        <w:rPr>
          <w:rFonts w:ascii="宋体" w:hAnsi="宋体" w:eastAsia="宋体" w:cs="宋体"/>
          <w:b/>
          <w:bCs/>
          <w:sz w:val="21"/>
          <w:szCs w:val="21"/>
          <w:highlight w:val="none"/>
        </w:rPr>
      </w:pPr>
      <w:bookmarkStart w:id="1" w:name="_Toc988890"/>
      <w:r>
        <w:rPr>
          <w:rFonts w:ascii="宋体" w:hAnsi="宋体" w:eastAsia="宋体" w:cs="宋体"/>
          <w:b/>
          <w:bCs/>
          <w:sz w:val="21"/>
          <w:szCs w:val="21"/>
          <w:highlight w:val="none"/>
        </w:rPr>
        <w:t>（一） 主要会计数据和财务指标</w:t>
      </w:r>
      <w:bookmarkEnd w:id="1"/>
    </w:p>
    <w:p>
      <w:pPr>
        <w:spacing w:before="40" w:after="40" w:line="240" w:lineRule="exact"/>
        <w:jc w:val="left"/>
        <w:rPr>
          <w:rFonts w:ascii="宋体" w:hAnsi="宋体" w:eastAsia="宋体" w:cs="宋体"/>
          <w:sz w:val="18"/>
          <w:szCs w:val="18"/>
          <w:highlight w:val="none"/>
        </w:rPr>
      </w:pPr>
      <w:r>
        <w:rPr>
          <w:rFonts w:ascii="宋体" w:hAnsi="宋体" w:eastAsia="宋体" w:cs="宋体"/>
          <w:sz w:val="18"/>
          <w:szCs w:val="18"/>
          <w:highlight w:val="none"/>
        </w:rPr>
        <w:t>公司是否需追溯调整或重述以前年度会计数据</w:t>
      </w:r>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sym w:font="Wingdings 2" w:char="F052"/>
      </w:r>
      <w:r>
        <w:rPr>
          <w:rFonts w:ascii="宋体" w:hAnsi="宋体" w:eastAsia="宋体" w:cs="宋体"/>
          <w:sz w:val="18"/>
          <w:szCs w:val="18"/>
          <w:highlight w:val="none"/>
        </w:rPr>
        <w:t>是 □否</w:t>
      </w:r>
    </w:p>
    <w:p>
      <w:pPr>
        <w:spacing w:before="40" w:after="40" w:line="240" w:lineRule="exact"/>
        <w:jc w:val="left"/>
        <w:rPr>
          <w:rFonts w:ascii="宋体" w:hAnsi="宋体" w:eastAsia="宋体" w:cs="宋体"/>
          <w:sz w:val="18"/>
          <w:szCs w:val="18"/>
          <w:highlight w:val="none"/>
        </w:rPr>
      </w:pPr>
      <w:r>
        <w:rPr>
          <w:rFonts w:ascii="宋体" w:hAnsi="宋体" w:eastAsia="宋体" w:cs="宋体"/>
          <w:sz w:val="18"/>
          <w:szCs w:val="18"/>
          <w:highlight w:val="none"/>
        </w:rPr>
        <w:t>追溯调整或重述原因</w:t>
      </w:r>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sym w:font="Wingdings 2" w:char="F052"/>
      </w:r>
      <w:r>
        <w:rPr>
          <w:rFonts w:ascii="宋体" w:hAnsi="宋体" w:eastAsia="宋体" w:cs="宋体"/>
          <w:sz w:val="18"/>
          <w:szCs w:val="18"/>
          <w:highlight w:val="none"/>
        </w:rPr>
        <w:t>会计政策变更 □会计差错更正 □同一控制下企业合并 □其他原因</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98"/>
        <w:gridCol w:w="1744"/>
        <w:gridCol w:w="1809"/>
        <w:gridCol w:w="1735"/>
        <w:gridCol w:w="17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74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本报告期</w:t>
            </w:r>
          </w:p>
        </w:tc>
        <w:tc>
          <w:tcPr>
            <w:tcW w:w="354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上年同期</w:t>
            </w:r>
          </w:p>
        </w:tc>
        <w:tc>
          <w:tcPr>
            <w:tcW w:w="17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744"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80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调整前</w:t>
            </w:r>
          </w:p>
        </w:tc>
        <w:tc>
          <w:tcPr>
            <w:tcW w:w="173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调整后</w:t>
            </w:r>
          </w:p>
        </w:tc>
        <w:tc>
          <w:tcPr>
            <w:tcW w:w="17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营业收入（元）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1,111,734,656.89</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1,626,559,690.87</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1,626,559,690.87</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归属于上市公司股东的净利润（元）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74,532,065.50</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94,903,072.28</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94,903,072.28</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归属于上市公司股东的扣除非经常性损益的净利润（元）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58,100,032.37</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77,358,561.77</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77,358,561.77</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经营活动产生的现金流量净额（元）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-78,766,114.75</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-391,364,907.58</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-391,364,907.58</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79.87%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7"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基本每股收益（元/股）</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0.10</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0.13</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0.13</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0"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稀释每股收益（元/股）</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0.10</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0.13</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0.13</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加权平均净资产收益率（%）</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3.13%</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4.34%</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4.34%</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74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本报告期末</w:t>
            </w:r>
          </w:p>
        </w:tc>
        <w:tc>
          <w:tcPr>
            <w:tcW w:w="354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上年度末</w:t>
            </w:r>
          </w:p>
        </w:tc>
        <w:tc>
          <w:tcPr>
            <w:tcW w:w="17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74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80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调整前</w:t>
            </w:r>
          </w:p>
        </w:tc>
        <w:tc>
          <w:tcPr>
            <w:tcW w:w="173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调整后</w:t>
            </w:r>
          </w:p>
        </w:tc>
        <w:tc>
          <w:tcPr>
            <w:tcW w:w="175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3"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总资产（元）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5,448,071,694.53</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5,256,444,224.17</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5,255,671,971.73</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9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归属于上市公司股东的所有者权益（元）</w:t>
            </w:r>
          </w:p>
        </w:tc>
        <w:tc>
          <w:tcPr>
            <w:tcW w:w="174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2,910,159,543.10</w:t>
            </w:r>
          </w:p>
        </w:tc>
        <w:tc>
          <w:tcPr>
            <w:tcW w:w="180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2,347,272,017.51</w:t>
            </w:r>
          </w:p>
        </w:tc>
        <w:tc>
          <w:tcPr>
            <w:tcW w:w="17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2,347,140,039.63</w:t>
            </w:r>
          </w:p>
        </w:tc>
        <w:tc>
          <w:tcPr>
            <w:tcW w:w="175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23.99%</w:t>
            </w:r>
          </w:p>
        </w:tc>
      </w:tr>
    </w:tbl>
    <w:p>
      <w:pPr>
        <w:spacing w:before="0" w:after="0" w:line="360" w:lineRule="auto"/>
        <w:jc w:val="left"/>
        <w:rPr>
          <w:rFonts w:ascii="宋体" w:hAnsi="宋体" w:eastAsia="宋体" w:cs="宋体"/>
          <w:sz w:val="18"/>
          <w:szCs w:val="18"/>
          <w:highlight w:val="none"/>
        </w:rPr>
      </w:pPr>
      <w:r>
        <w:rPr>
          <w:rFonts w:ascii="宋体" w:hAnsi="宋体" w:eastAsia="宋体" w:cs="宋体"/>
          <w:sz w:val="18"/>
          <w:szCs w:val="18"/>
          <w:highlight w:val="none"/>
        </w:rPr>
        <w:t>会计政策变更的原因及会计差错更正的情况</w:t>
      </w:r>
    </w:p>
    <w:p>
      <w:pPr>
        <w:pStyle w:val="2"/>
        <w:keepNext w:val="0"/>
        <w:keepLines w:val="0"/>
        <w:widowControl/>
        <w:suppressLineNumbers w:val="0"/>
        <w:spacing w:before="40" w:beforeAutospacing="0" w:after="40" w:afterAutospacing="0" w:line="360" w:lineRule="auto"/>
        <w:ind w:left="0" w:leftChars="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根据 2022 年 11 月 30 日财政部会计司发布《企业会计准则解释第 16 号》的有关规定：“对于在首次施行的财务报表列报最早期间的期初因适用本解释的单项交易而确认的租赁负债和使用权资产，以及确认的弃置义务相关预计负债和对应的相关资产，产生应纳税暂时性差异和可抵扣暂时性差异的，企业应当按照本解释和《企业会计准则第18号—所得税》的规定，将累积影响数调整财务报表列报最早期间的期初留存收益及其他相关财务报表项目”，公司按规定于2023 年 1 月 1 日起对因租赁业务产生的暂时性差异的年初数进行变更调整，本次调整对公司财务状况、经营成果和现金流量不产生重大影响，具体明细如下：</w:t>
      </w:r>
    </w:p>
    <w:p>
      <w:pPr>
        <w:pStyle w:val="2"/>
        <w:keepNext w:val="0"/>
        <w:keepLines w:val="0"/>
        <w:widowControl/>
        <w:suppressLineNumbers w:val="0"/>
        <w:spacing w:before="40" w:beforeAutospacing="0" w:after="40" w:afterAutospacing="0" w:line="360" w:lineRule="auto"/>
        <w:jc w:val="righ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单位：元</w:t>
      </w:r>
    </w:p>
    <w:tbl>
      <w:tblPr>
        <w:tblStyle w:val="3"/>
        <w:tblW w:w="9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5"/>
        <w:gridCol w:w="3141"/>
        <w:gridCol w:w="3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55"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受影响的报表项目</w:t>
            </w:r>
          </w:p>
        </w:tc>
        <w:tc>
          <w:tcPr>
            <w:tcW w:w="6310" w:type="dxa"/>
            <w:gridSpan w:val="2"/>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年初余额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kern w:val="0"/>
                <w:sz w:val="18"/>
                <w:szCs w:val="18"/>
                <w:highlight w:val="none"/>
                <w:lang w:val="en-US" w:eastAsia="zh-CN" w:bidi="ar"/>
              </w:rPr>
            </w:pPr>
          </w:p>
        </w:tc>
        <w:tc>
          <w:tcPr>
            <w:tcW w:w="314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调整前</w:t>
            </w:r>
          </w:p>
        </w:tc>
        <w:tc>
          <w:tcPr>
            <w:tcW w:w="316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调整后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32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递延所得税资产</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132,741,607.38 </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131,969,354.94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32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递延所得税负债</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12,119,364.58 </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11,501,612.39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2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盈余公积</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160,540,744.88 </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160,536,930.11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32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未分配利润</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1,408,151,188.19 </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1,408,023,025.08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少数股东权益</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131,070,826.07 </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 xml:space="preserve">131,048,303.70 </w:t>
            </w:r>
          </w:p>
        </w:tc>
      </w:tr>
    </w:tbl>
    <w:p>
      <w:pPr>
        <w:keepNext/>
        <w:keepLines/>
        <w:spacing w:before="300" w:after="300" w:line="280" w:lineRule="exact"/>
        <w:jc w:val="left"/>
        <w:outlineLvl w:val="1"/>
        <w:rPr>
          <w:rFonts w:ascii="宋体" w:hAnsi="宋体" w:eastAsia="宋体" w:cs="宋体"/>
          <w:b/>
          <w:bCs/>
          <w:sz w:val="21"/>
          <w:szCs w:val="21"/>
          <w:highlight w:val="none"/>
        </w:rPr>
      </w:pPr>
      <w:bookmarkStart w:id="2" w:name="_Toc988891"/>
      <w:r>
        <w:rPr>
          <w:rFonts w:ascii="宋体" w:hAnsi="宋体" w:eastAsia="宋体" w:cs="宋体"/>
          <w:b/>
          <w:bCs/>
          <w:sz w:val="21"/>
          <w:szCs w:val="21"/>
          <w:highlight w:val="none"/>
        </w:rPr>
        <w:t>（二） 非经常性损益项目和金额</w:t>
      </w:r>
      <w:bookmarkEnd w:id="2"/>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sym w:font="Wingdings 2" w:char="F052"/>
      </w:r>
      <w:r>
        <w:rPr>
          <w:rFonts w:ascii="宋体" w:hAnsi="宋体" w:eastAsia="宋体" w:cs="宋体"/>
          <w:sz w:val="18"/>
          <w:szCs w:val="18"/>
          <w:highlight w:val="none"/>
        </w:rPr>
        <w:t>适用 □不适用</w:t>
      </w:r>
    </w:p>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86"/>
        <w:gridCol w:w="2400"/>
        <w:gridCol w:w="17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项目</w:t>
            </w:r>
          </w:p>
        </w:tc>
        <w:tc>
          <w:tcPr>
            <w:tcW w:w="24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本报告期金额</w:t>
            </w:r>
          </w:p>
        </w:tc>
        <w:tc>
          <w:tcPr>
            <w:tcW w:w="175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非流动资产处置损益（包括已计提资产减值准备的冲销部分）</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867,788.43</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计入当期损益的政府补助（与公司正常经营业务密切相关，符合国家政策规定、按照一定标准定额或定量持续享受的政府补助除外）</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hint="eastAsia" w:ascii="宋体" w:hAnsi="宋体" w:eastAsia="宋体" w:cs="宋体"/>
                <w:sz w:val="18"/>
                <w:szCs w:val="18"/>
                <w:highlight w:val="none"/>
              </w:rPr>
              <w:t>2</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rPr>
              <w:t>317</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rPr>
              <w:t>140.99</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债务重组损益</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5,320,941.93</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2,425,438.50</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9"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单独进行减值测试的应收款项减值准备转回</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3,693,098.17</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0"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除上述各项之外的其他营业外收入和支出</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3,574,572.94</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0"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hint="eastAsia" w:ascii="宋体" w:hAnsi="宋体"/>
                <w:sz w:val="18"/>
                <w:szCs w:val="18"/>
                <w:highlight w:val="none"/>
              </w:rPr>
              <w:t>其他符合非经常性损益定义的损益项目</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117,140.77</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1"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减：所得税影响额</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1,433,355.76</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少数股东权益影响额（税后）</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450,732.84</w:t>
            </w:r>
          </w:p>
        </w:tc>
        <w:tc>
          <w:tcPr>
            <w:tcW w:w="17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5" w:hRule="atLeast"/>
        </w:trPr>
        <w:tc>
          <w:tcPr>
            <w:tcW w:w="548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合计</w:t>
            </w:r>
          </w:p>
        </w:tc>
        <w:tc>
          <w:tcPr>
            <w:tcW w:w="24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16,432,033.13</w:t>
            </w:r>
          </w:p>
        </w:tc>
        <w:tc>
          <w:tcPr>
            <w:tcW w:w="175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bl>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其他符合非经常性损益定义的损益项目的具体情况</w:t>
      </w:r>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sym w:font="Wingdings 2" w:char="0052"/>
      </w:r>
      <w:r>
        <w:rPr>
          <w:rFonts w:ascii="宋体" w:hAnsi="宋体" w:eastAsia="宋体" w:cs="宋体"/>
          <w:sz w:val="18"/>
          <w:szCs w:val="18"/>
          <w:highlight w:val="none"/>
        </w:rPr>
        <w:t xml:space="preserve">适用 </w:t>
      </w:r>
      <w:r>
        <w:rPr>
          <w:rFonts w:ascii="宋体" w:hAnsi="宋体" w:eastAsia="宋体" w:cs="宋体"/>
          <w:sz w:val="18"/>
          <w:szCs w:val="18"/>
          <w:highlight w:val="none"/>
        </w:rPr>
        <w:sym w:font="Wingdings 2" w:char="00A3"/>
      </w:r>
      <w:r>
        <w:rPr>
          <w:rFonts w:ascii="宋体" w:hAnsi="宋体" w:eastAsia="宋体" w:cs="宋体"/>
          <w:sz w:val="18"/>
          <w:szCs w:val="18"/>
          <w:highlight w:val="none"/>
        </w:rPr>
        <w:t>不适用</w:t>
      </w:r>
    </w:p>
    <w:p>
      <w:pPr>
        <w:spacing w:before="40" w:after="40" w:line="240" w:lineRule="exact"/>
        <w:jc w:val="left"/>
        <w:rPr>
          <w:rFonts w:ascii="宋体" w:hAnsi="宋体" w:eastAsia="宋体" w:cs="宋体"/>
          <w:sz w:val="18"/>
          <w:szCs w:val="18"/>
          <w:highlight w:val="none"/>
        </w:rPr>
      </w:pPr>
      <w:r>
        <w:rPr>
          <w:rFonts w:hint="eastAsia" w:ascii="宋体" w:hAnsi="宋体" w:eastAsia="宋体" w:cs="宋体"/>
          <w:sz w:val="18"/>
          <w:szCs w:val="18"/>
          <w:highlight w:val="none"/>
        </w:rPr>
        <w:t>其他符合非经常性损益定义的项目为代扣代缴个人所得税手续费返还</w:t>
      </w:r>
      <w:r>
        <w:rPr>
          <w:rFonts w:ascii="宋体" w:hAnsi="宋体" w:eastAsia="宋体" w:cs="宋体"/>
          <w:sz w:val="18"/>
          <w:szCs w:val="18"/>
          <w:highlight w:val="none"/>
        </w:rPr>
        <w:t>。</w:t>
      </w:r>
    </w:p>
    <w:p>
      <w:pPr>
        <w:spacing w:before="40" w:after="40" w:line="240" w:lineRule="exact"/>
        <w:jc w:val="left"/>
        <w:rPr>
          <w:rFonts w:ascii="宋体" w:hAnsi="宋体" w:eastAsia="宋体" w:cs="宋体"/>
          <w:sz w:val="18"/>
          <w:szCs w:val="18"/>
          <w:highlight w:val="none"/>
        </w:rPr>
      </w:pPr>
      <w:r>
        <w:rPr>
          <w:rFonts w:ascii="宋体" w:hAnsi="宋体" w:eastAsia="宋体" w:cs="宋体"/>
          <w:sz w:val="18"/>
          <w:szCs w:val="18"/>
          <w:highlight w:val="none"/>
        </w:rPr>
        <w:t>将《公开发行证券的公司信息披露解释性公告第1号——非经常性损益》中列举的非经常性损益项目界定为经常性损益项目的情况说明
</w:t>
      </w:r>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sym w:font="Wingdings 2" w:char="F052"/>
      </w:r>
      <w:r>
        <w:rPr>
          <w:rFonts w:ascii="宋体" w:hAnsi="宋体" w:eastAsia="宋体" w:cs="宋体"/>
          <w:sz w:val="18"/>
          <w:szCs w:val="18"/>
          <w:highlight w:val="none"/>
        </w:rPr>
        <w:t>适用 □不适用</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6"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涉及金额（元）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2"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增值税即征即退返还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976,129.29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即征即退返还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2"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进项税额加计抵减</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hint="eastAsia" w:ascii="宋体" w:hAnsi="宋体" w:cs="宋体"/>
                <w:sz w:val="18"/>
                <w:szCs w:val="18"/>
                <w:highlight w:val="none"/>
                <w:lang w:val="en-US" w:eastAsia="zh-CN"/>
              </w:rPr>
              <w:t>7,496.47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进项税额加计抵减</w:t>
            </w:r>
          </w:p>
        </w:tc>
      </w:tr>
    </w:tbl>
    <w:p>
      <w:pPr>
        <w:keepNext/>
        <w:keepLines/>
        <w:spacing w:before="300" w:after="300" w:line="280" w:lineRule="exact"/>
        <w:jc w:val="left"/>
        <w:outlineLvl w:val="1"/>
        <w:rPr>
          <w:rFonts w:ascii="宋体" w:hAnsi="宋体" w:eastAsia="宋体" w:cs="宋体"/>
          <w:b/>
          <w:bCs/>
          <w:sz w:val="21"/>
          <w:szCs w:val="21"/>
          <w:highlight w:val="none"/>
        </w:rPr>
      </w:pPr>
      <w:bookmarkStart w:id="3" w:name="_Toc988892"/>
      <w:r>
        <w:rPr>
          <w:rFonts w:ascii="宋体" w:hAnsi="宋体" w:eastAsia="宋体" w:cs="宋体"/>
          <w:b/>
          <w:bCs/>
          <w:sz w:val="21"/>
          <w:szCs w:val="21"/>
          <w:highlight w:val="none"/>
        </w:rPr>
        <w:t>（三） 主要会计数据和财务指标发生变动的情况及原因</w:t>
      </w:r>
      <w:bookmarkEnd w:id="3"/>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sym w:font="Wingdings 2" w:char="F052"/>
      </w:r>
      <w:r>
        <w:rPr>
          <w:rFonts w:ascii="宋体" w:hAnsi="宋体" w:eastAsia="宋体" w:cs="宋体"/>
          <w:sz w:val="18"/>
          <w:szCs w:val="18"/>
          <w:highlight w:val="none"/>
        </w:rPr>
        <w:t>适用 □不适用</w:t>
      </w:r>
    </w:p>
    <w:p>
      <w:pPr>
        <w:numPr>
          <w:ilvl w:val="0"/>
          <w:numId w:val="1"/>
        </w:numPr>
        <w:spacing w:before="0" w:after="0" w:line="240" w:lineRule="exact"/>
        <w:jc w:val="left"/>
        <w:rPr>
          <w:rFonts w:hint="eastAsia" w:ascii="宋体" w:hAnsi="宋体" w:eastAsia="宋体" w:cs="宋体"/>
          <w:i w:val="0"/>
          <w:iCs w:val="0"/>
          <w:color w:val="000000"/>
          <w:kern w:val="0"/>
          <w:sz w:val="18"/>
          <w:szCs w:val="18"/>
          <w:highlight w:val="none"/>
          <w:u w:val="none"/>
          <w:lang w:val="en-US" w:eastAsia="zh-CN" w:bidi="ar"/>
        </w:rPr>
      </w:pPr>
      <w:bookmarkStart w:id="4" w:name="_Toc988893"/>
      <w:r>
        <w:rPr>
          <w:rFonts w:hint="eastAsia" w:ascii="宋体" w:hAnsi="宋体" w:eastAsia="宋体" w:cs="宋体"/>
          <w:i w:val="0"/>
          <w:iCs w:val="0"/>
          <w:color w:val="000000"/>
          <w:kern w:val="0"/>
          <w:sz w:val="18"/>
          <w:szCs w:val="18"/>
          <w:highlight w:val="none"/>
          <w:u w:val="none"/>
          <w:lang w:val="en-US" w:eastAsia="zh-CN" w:bidi="ar"/>
        </w:rPr>
        <w:t>资产负债表科目</w:t>
      </w:r>
    </w:p>
    <w:p>
      <w:pPr>
        <w:numPr>
          <w:ilvl w:val="0"/>
          <w:numId w:val="0"/>
        </w:numPr>
        <w:spacing w:before="0" w:after="0" w:line="240" w:lineRule="exact"/>
        <w:jc w:val="right"/>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单位：万元</w:t>
      </w:r>
    </w:p>
    <w:tbl>
      <w:tblPr>
        <w:tblStyle w:val="3"/>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1490"/>
        <w:gridCol w:w="1428"/>
        <w:gridCol w:w="1182"/>
        <w:gridCol w:w="1060"/>
        <w:gridCol w:w="3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科目</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本报告期末</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本报告期初</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变动金额</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变动比例</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货币资金</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100,591.98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69,316.41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31,275.57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主要系公司向特定对象发行股票的募集资金在报告期到账所致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应收票据</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3,831.34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6,131.08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-2,299.74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-37.51%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主要系公司报告期商业承兑汇票到期所致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应收款项融资</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629.07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1,069.99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-440.92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-41.21%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主要系公司报告期银行承兑汇票背书转让所致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持有待售资产</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7,491.04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3,347.79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4,143.25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123.76%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主要系公司出售子公司江苏德华兔宝宝装饰新材有限公司、德兴市兔宝宝装饰材料有限公司股权，已签属股权转让协议，预计在4月份办妥工商变更。公司将上述两家子公司资产划分为持有待售资产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在建工程</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1,570.68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1,033.04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537.64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52.04%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主要系公司及子公司报告期展厅、</w:t>
            </w:r>
            <w:r>
              <w:rPr>
                <w:rFonts w:hint="eastAsia" w:ascii="宋体" w:hAnsi="宋体" w:cs="宋体"/>
                <w:i w:val="0"/>
                <w:iCs w:val="0"/>
                <w:color w:val="000000"/>
                <w:kern w:val="0"/>
                <w:sz w:val="18"/>
                <w:szCs w:val="18"/>
                <w:highlight w:val="none"/>
                <w:u w:val="none"/>
                <w:lang w:val="en-US" w:eastAsia="zh-CN" w:bidi="ar"/>
              </w:rPr>
              <w:t>洛漾半岛培训中心项目</w:t>
            </w:r>
            <w:r>
              <w:rPr>
                <w:rFonts w:hint="eastAsia" w:ascii="宋体" w:hAnsi="宋体" w:eastAsia="宋体" w:cs="宋体"/>
                <w:i w:val="0"/>
                <w:iCs w:val="0"/>
                <w:color w:val="000000"/>
                <w:kern w:val="0"/>
                <w:sz w:val="18"/>
                <w:szCs w:val="18"/>
                <w:highlight w:val="none"/>
                <w:u w:val="none"/>
                <w:lang w:val="en-US" w:eastAsia="zh-CN" w:bidi="ar"/>
              </w:rPr>
              <w:t>投入增加所致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其他非流动资产</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3,420.60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2,589.46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831.14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32.10%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主要系子公司报告期新增软件投入和工抵房所致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应付职工薪酬</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6,091.07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10,022.50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-3,931.43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-39.23%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主要系公司报告期发放2022年度奖金所致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应交税费</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13,169.21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21,804.36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-8,635.15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-39.60%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主要系公司2022年</w:t>
            </w:r>
            <w:r>
              <w:rPr>
                <w:rFonts w:hint="eastAsia" w:ascii="宋体" w:hAnsi="宋体" w:cs="宋体"/>
                <w:i w:val="0"/>
                <w:iCs w:val="0"/>
                <w:color w:val="000000"/>
                <w:kern w:val="0"/>
                <w:sz w:val="18"/>
                <w:szCs w:val="18"/>
                <w:highlight w:val="none"/>
                <w:u w:val="none"/>
                <w:lang w:val="en-US" w:eastAsia="zh-CN" w:bidi="ar"/>
              </w:rPr>
              <w:t>末未交税金</w:t>
            </w:r>
            <w:r>
              <w:rPr>
                <w:rFonts w:hint="eastAsia" w:ascii="宋体" w:hAnsi="宋体" w:eastAsia="宋体" w:cs="宋体"/>
                <w:i w:val="0"/>
                <w:iCs w:val="0"/>
                <w:color w:val="000000"/>
                <w:kern w:val="0"/>
                <w:sz w:val="18"/>
                <w:szCs w:val="18"/>
                <w:highlight w:val="none"/>
                <w:u w:val="none"/>
                <w:lang w:val="en-US" w:eastAsia="zh-CN" w:bidi="ar"/>
              </w:rPr>
              <w:t>在本期缴纳所致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持有待售负债</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4,120.17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2,320.72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1,799.45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77.54%</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主要系公司出售子公司江苏德华兔宝宝装饰新材有限公司、德兴市兔宝宝装饰材料有限公司股权，已签属股权转让协议，预计在4月份办妥工商变更。公司将上述两家子公司负债划分为持有待售负债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资本公积</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68,541.18 </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26,737.44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41,803.74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156.35%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主要系公司向特定对象发行股票的募集资金在报告期到账，增加股本后剩余金额增加资本公积所致</w:t>
            </w:r>
          </w:p>
        </w:tc>
      </w:tr>
    </w:tbl>
    <w:p>
      <w:pPr>
        <w:numPr>
          <w:ilvl w:val="0"/>
          <w:numId w:val="1"/>
        </w:numPr>
        <w:ind w:left="0" w:leftChars="0" w:firstLine="0" w:firstLineChars="0"/>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利润表科目</w:t>
      </w:r>
    </w:p>
    <w:p>
      <w:pPr>
        <w:numPr>
          <w:ilvl w:val="0"/>
          <w:numId w:val="0"/>
        </w:numPr>
        <w:ind w:leftChars="0"/>
        <w:jc w:val="right"/>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单位：万元</w:t>
      </w:r>
    </w:p>
    <w:tbl>
      <w:tblPr>
        <w:tblStyle w:val="3"/>
        <w:tblW w:w="96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2"/>
        <w:gridCol w:w="1247"/>
        <w:gridCol w:w="1181"/>
        <w:gridCol w:w="1257"/>
        <w:gridCol w:w="1171"/>
        <w:gridCol w:w="3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科目</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本报告期</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上年同期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变动金额</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变动比例</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营业收入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111,173.47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162,655.97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-51,482.5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-31.65%</w:t>
            </w:r>
          </w:p>
        </w:tc>
        <w:tc>
          <w:tcPr>
            <w:tcW w:w="3441" w:type="dxa"/>
            <w:tcBorders>
              <w:top w:val="nil"/>
              <w:left w:val="nil"/>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房地产行业下行压力加大等因素影响，公司基于管控风险的考量，子公司青岛裕丰汉唐木业有限公司对部分风险等级较高的地产客户销</w:t>
            </w:r>
            <w:r>
              <w:rPr>
                <w:rFonts w:hint="eastAsia" w:ascii="宋体" w:hAnsi="宋体" w:cs="宋体"/>
                <w:i w:val="0"/>
                <w:iCs w:val="0"/>
                <w:color w:val="000000"/>
                <w:kern w:val="0"/>
                <w:sz w:val="18"/>
                <w:szCs w:val="18"/>
                <w:highlight w:val="none"/>
                <w:u w:val="none"/>
                <w:lang w:val="en-US" w:eastAsia="zh-CN" w:bidi="ar"/>
              </w:rPr>
              <w:t>量适度管控以及公司本期经销模式业务收入同比减少所致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营业成本</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85,884.11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132,544.31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-46,660.2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主要系公司营业收入减少，相应成本减少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财务费用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295.26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677.14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-381.88</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-56.40%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主要系公司本期归还流动资金贷款，支付的利息相应减少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其他收益</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341.79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564.77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-222.98</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-39.48%</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主要系公司报告期收到的政府补助减少所致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投资收益</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667.36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1,149.86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-482.5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-41.96%</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主要系公司报告期理财收益同比减少所致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信用减值损</w:t>
            </w:r>
            <w:r>
              <w:rPr>
                <w:rFonts w:hint="eastAsia" w:ascii="宋体" w:hAnsi="宋体" w:cs="宋体"/>
                <w:i w:val="0"/>
                <w:iCs w:val="0"/>
                <w:color w:val="000000"/>
                <w:kern w:val="0"/>
                <w:sz w:val="18"/>
                <w:szCs w:val="18"/>
                <w:highlight w:val="none"/>
                <w:u w:val="none"/>
                <w:lang w:val="en-US" w:eastAsia="zh-CN" w:bidi="ar"/>
              </w:rPr>
              <w:t>失</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-145.05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-236.07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91.02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38.56%</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主要系公司报告期计提的信用减值损失</w:t>
            </w:r>
            <w:r>
              <w:rPr>
                <w:rFonts w:hint="eastAsia" w:ascii="宋体" w:hAnsi="宋体" w:cs="宋体"/>
                <w:i w:val="0"/>
                <w:iCs w:val="0"/>
                <w:color w:val="000000"/>
                <w:kern w:val="0"/>
                <w:sz w:val="18"/>
                <w:szCs w:val="18"/>
                <w:highlight w:val="none"/>
                <w:u w:val="none"/>
                <w:lang w:val="en-US" w:eastAsia="zh-CN" w:bidi="ar"/>
              </w:rPr>
              <w:t>同比</w:t>
            </w:r>
            <w:r>
              <w:rPr>
                <w:rFonts w:hint="eastAsia" w:ascii="宋体" w:hAnsi="宋体" w:eastAsia="宋体" w:cs="宋体"/>
                <w:i w:val="0"/>
                <w:iCs w:val="0"/>
                <w:color w:val="000000"/>
                <w:kern w:val="0"/>
                <w:sz w:val="18"/>
                <w:szCs w:val="18"/>
                <w:highlight w:val="none"/>
                <w:u w:val="none"/>
                <w:lang w:val="en-US" w:eastAsia="zh-CN" w:bidi="ar"/>
              </w:rPr>
              <w:t>减少所致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资产减值损失</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20.95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41.18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-49.13%</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w:t>
            </w:r>
            <w:r>
              <w:rPr>
                <w:rFonts w:hint="eastAsia" w:ascii="宋体" w:hAnsi="宋体" w:cs="宋体"/>
                <w:i w:val="0"/>
                <w:iCs w:val="0"/>
                <w:color w:val="000000"/>
                <w:kern w:val="0"/>
                <w:sz w:val="18"/>
                <w:szCs w:val="18"/>
                <w:highlight w:val="none"/>
                <w:u w:val="none"/>
                <w:lang w:val="en-US" w:eastAsia="zh-CN" w:bidi="ar"/>
              </w:rPr>
              <w:t>计提的存货</w:t>
            </w:r>
            <w:r>
              <w:rPr>
                <w:rFonts w:hint="eastAsia" w:ascii="宋体" w:hAnsi="宋体" w:eastAsia="宋体" w:cs="宋体"/>
                <w:i w:val="0"/>
                <w:iCs w:val="0"/>
                <w:color w:val="000000"/>
                <w:kern w:val="0"/>
                <w:sz w:val="18"/>
                <w:szCs w:val="18"/>
                <w:highlight w:val="none"/>
                <w:u w:val="none"/>
                <w:lang w:val="en-US" w:eastAsia="zh-CN" w:bidi="ar"/>
              </w:rPr>
              <w:t>减值</w:t>
            </w:r>
            <w:r>
              <w:rPr>
                <w:rFonts w:hint="eastAsia" w:ascii="宋体" w:hAnsi="宋体" w:cs="宋体"/>
                <w:i w:val="0"/>
                <w:iCs w:val="0"/>
                <w:color w:val="000000"/>
                <w:kern w:val="0"/>
                <w:sz w:val="18"/>
                <w:szCs w:val="18"/>
                <w:highlight w:val="none"/>
                <w:u w:val="none"/>
                <w:lang w:val="en-US" w:eastAsia="zh-CN" w:bidi="ar"/>
              </w:rPr>
              <w:t>准备同比增加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所得税费用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3,823.69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2,830.41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993.28</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35.09%</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主要系公司装饰材料业务利润总额同比增加所致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少数股东损益</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8.90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276.52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-267.62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-96.78%</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主要系公司报告期部分非全资控股子公司利润同比下降所致</w:t>
            </w:r>
          </w:p>
        </w:tc>
      </w:tr>
    </w:tbl>
    <w:p>
      <w:pPr>
        <w:numPr>
          <w:ilvl w:val="0"/>
          <w:numId w:val="1"/>
        </w:numPr>
        <w:ind w:left="0" w:leftChars="0" w:firstLine="0" w:firstLineChars="0"/>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现金流量表科目</w:t>
      </w:r>
    </w:p>
    <w:p>
      <w:pPr>
        <w:numPr>
          <w:ilvl w:val="0"/>
          <w:numId w:val="0"/>
        </w:numPr>
        <w:ind w:leftChars="0"/>
        <w:jc w:val="righ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单位：万元</w:t>
      </w:r>
    </w:p>
    <w:tbl>
      <w:tblPr>
        <w:tblStyle w:val="3"/>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7"/>
        <w:gridCol w:w="1237"/>
        <w:gridCol w:w="1294"/>
        <w:gridCol w:w="1247"/>
        <w:gridCol w:w="1014"/>
        <w:gridCol w:w="3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科目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本报告期</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上年同期</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变动金额</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变动比例</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经营活动产生的现金流量净额</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-7,876.61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-39,136.49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31,259.88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79.87%</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主要系报告期支付各项税费及与其他经营活动有关的现金减少所致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投资活动产生的现金流量净额</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1,767.99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-1,971.46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3,739.45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189.68%</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主要系报告期处置子公司收到的现金增加及购建固定资产、无形资产和其他长期资产支付的现金减少所致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筹资活动产生的现金流量净额</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38,372.61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12,223.27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26,149.34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213.93%</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主要系公司向特定对象发行股票的募集资金在报告期到账所致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现金及现金等价物净增加额</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32,217.46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-28,913.83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61,131.29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211.43%</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主要系报告期经营活动产生的现金流量净额及筹资活动产生的现金流量净额同比增加所致</w:t>
            </w:r>
          </w:p>
        </w:tc>
      </w:tr>
    </w:tbl>
    <w:p>
      <w:pPr>
        <w:keepNext/>
        <w:keepLines/>
        <w:spacing w:before="300" w:after="300" w:line="320" w:lineRule="exact"/>
        <w:jc w:val="left"/>
        <w:outlineLvl w:val="0"/>
        <w:rPr>
          <w:rFonts w:ascii="宋体" w:hAnsi="宋体" w:eastAsia="宋体" w:cs="宋体"/>
          <w:b/>
          <w:bCs/>
          <w:sz w:val="24"/>
          <w:szCs w:val="24"/>
          <w:highlight w:val="none"/>
        </w:rPr>
      </w:pPr>
      <w:r>
        <w:rPr>
          <w:rFonts w:ascii="宋体" w:hAnsi="宋体" w:eastAsia="宋体" w:cs="宋体"/>
          <w:b/>
          <w:bCs/>
          <w:sz w:val="24"/>
          <w:szCs w:val="24"/>
          <w:highlight w:val="none"/>
        </w:rPr>
        <w:t xml:space="preserve">二、股东信息 </w:t>
      </w:r>
      <w:bookmarkEnd w:id="4"/>
    </w:p>
    <w:p>
      <w:pPr>
        <w:keepNext/>
        <w:keepLines/>
        <w:spacing w:before="300" w:after="300" w:line="280" w:lineRule="exact"/>
        <w:jc w:val="left"/>
        <w:outlineLvl w:val="1"/>
        <w:rPr>
          <w:rFonts w:ascii="宋体" w:hAnsi="宋体" w:eastAsia="宋体" w:cs="宋体"/>
          <w:b/>
          <w:bCs/>
          <w:sz w:val="21"/>
          <w:szCs w:val="21"/>
          <w:highlight w:val="none"/>
        </w:rPr>
      </w:pPr>
      <w:bookmarkStart w:id="5" w:name="_Toc988894"/>
      <w:r>
        <w:rPr>
          <w:rFonts w:ascii="宋体" w:hAnsi="宋体" w:eastAsia="宋体" w:cs="宋体"/>
          <w:b/>
          <w:bCs/>
          <w:sz w:val="21"/>
          <w:szCs w:val="21"/>
          <w:highlight w:val="none"/>
        </w:rPr>
        <w:t>（一） 普通股股东总数和表决权恢复的优先股股东数量及前十名股东持股情况表</w:t>
      </w:r>
      <w:bookmarkEnd w:id="5"/>
    </w:p>
    <w:p>
      <w:pPr>
        <w:spacing w:before="40" w:after="40" w:line="240" w:lineRule="exact"/>
        <w:jc w:val="right"/>
        <w:rPr>
          <w:rFonts w:ascii="宋体" w:hAnsi="宋体" w:eastAsia="宋体" w:cs="宋体"/>
          <w:sz w:val="18"/>
          <w:szCs w:val="18"/>
          <w:highlight w:val="none"/>
        </w:rPr>
      </w:pPr>
      <w:r>
        <w:rPr>
          <w:rFonts w:ascii="宋体" w:hAnsi="宋体" w:eastAsia="宋体" w:cs="宋体"/>
          <w:sz w:val="18"/>
          <w:szCs w:val="18"/>
          <w:highlight w:val="none"/>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55"/>
        <w:gridCol w:w="99"/>
        <w:gridCol w:w="1377"/>
        <w:gridCol w:w="1064"/>
        <w:gridCol w:w="1331"/>
        <w:gridCol w:w="1200"/>
        <w:gridCol w:w="338"/>
        <w:gridCol w:w="198"/>
        <w:gridCol w:w="111"/>
        <w:gridCol w:w="1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报告期末普通股股东总数</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76,527</w:t>
            </w:r>
          </w:p>
        </w:tc>
        <w:tc>
          <w:tcPr>
            <w:tcW w:w="413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报告期末表决权恢复的优先股股东总数（如有）</w:t>
            </w:r>
          </w:p>
        </w:tc>
        <w:tc>
          <w:tcPr>
            <w:tcW w:w="1377"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trPr>
        <w:tc>
          <w:tcPr>
            <w:tcW w:w="9639" w:type="dxa"/>
            <w:gridSpan w:val="10"/>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前10名股东持股情况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5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股东名称</w:t>
            </w:r>
          </w:p>
        </w:tc>
        <w:tc>
          <w:tcPr>
            <w:tcW w:w="147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股东性质</w:t>
            </w:r>
          </w:p>
        </w:tc>
        <w:tc>
          <w:tcPr>
            <w:tcW w:w="106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持股比例（%）</w:t>
            </w:r>
          </w:p>
        </w:tc>
        <w:tc>
          <w:tcPr>
            <w:tcW w:w="133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持股数量</w:t>
            </w:r>
          </w:p>
        </w:tc>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持有有限售条件的股份数量</w:t>
            </w:r>
          </w:p>
        </w:tc>
        <w:tc>
          <w:tcPr>
            <w:tcW w:w="1913"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质押、标记 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5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476"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06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33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647"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股份状态</w:t>
            </w:r>
          </w:p>
        </w:tc>
        <w:tc>
          <w:tcPr>
            <w:tcW w:w="126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8"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德华集团控股股份有限公司</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29.68%</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229,344,885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质押</w:t>
            </w: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3"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德华创业投资有限公司</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6.57%</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50,813,008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0"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漆勇</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境内自然人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4.38%</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33,860,000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25,520,000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2"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丁鸿敏</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境内自然人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2.63%</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20,325,204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15,243,903</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德华兔宝宝装饰新材股份有限公司－第二期员工持股计划</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1.45%</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11,170,000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中国工商银行股份有限公司－中欧时代先锋股票型发起式证券投资基金</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1.30%</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10,066,600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香港中央结算有限公司</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1.13%</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8,751,044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中国建设银行股份有限公司－中欧新蓝筹灵活配置混合型证券投资基金</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1.07%</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8,233,968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兴业银行股份有限公司－中欧新趋势股票型证券投资基金(LOF)</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0.90%</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6,962,419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65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中国建设银行股份有限公司－中欧价值发现股票型证券投资基金</w:t>
            </w:r>
          </w:p>
        </w:tc>
        <w:tc>
          <w:tcPr>
            <w:tcW w:w="147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境内非国有法人</w:t>
            </w:r>
          </w:p>
        </w:tc>
        <w:tc>
          <w:tcPr>
            <w:tcW w:w="10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0.77%</w:t>
            </w:r>
          </w:p>
        </w:tc>
        <w:tc>
          <w:tcPr>
            <w:tcW w:w="13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5,963,130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w:t>
            </w:r>
          </w:p>
        </w:tc>
        <w:tc>
          <w:tcPr>
            <w:tcW w:w="647"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p>
        </w:tc>
        <w:tc>
          <w:tcPr>
            <w:tcW w:w="126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4" w:hRule="atLeast"/>
        </w:trPr>
        <w:tc>
          <w:tcPr>
            <w:tcW w:w="9639" w:type="dxa"/>
            <w:gridSpan w:val="10"/>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前10名无限售条件股东持股情况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4131"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股东名称</w:t>
            </w:r>
          </w:p>
        </w:tc>
        <w:tc>
          <w:tcPr>
            <w:tcW w:w="2395"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持有无限售条件股份数量</w:t>
            </w:r>
          </w:p>
        </w:tc>
        <w:tc>
          <w:tcPr>
            <w:tcW w:w="3113"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4131" w:type="dxa"/>
            <w:gridSpan w:val="3"/>
            <w:vMerge w:val="continue"/>
            <w:tcBorders>
              <w:top w:val="single" w:color="auto" w:sz="2" w:space="0"/>
              <w:left w:val="single" w:color="auto" w:sz="2" w:space="0"/>
              <w:bottom w:val="single" w:color="auto" w:sz="2" w:space="0"/>
              <w:right w:val="single" w:color="auto" w:sz="2" w:space="0"/>
            </w:tcBorders>
            <w:vAlign w:val="center"/>
          </w:tcPr>
          <w:p>
            <w:pPr>
              <w:rPr>
                <w:highlight w:val="none"/>
              </w:rPr>
            </w:pPr>
          </w:p>
        </w:tc>
        <w:tc>
          <w:tcPr>
            <w:tcW w:w="2395" w:type="dxa"/>
            <w:gridSpan w:val="2"/>
            <w:vMerge w:val="continue"/>
            <w:tcBorders>
              <w:top w:val="single" w:color="auto" w:sz="2" w:space="0"/>
              <w:left w:val="single" w:color="auto" w:sz="2" w:space="0"/>
              <w:bottom w:val="single" w:color="auto" w:sz="2" w:space="0"/>
              <w:right w:val="single" w:color="auto" w:sz="2" w:space="0"/>
            </w:tcBorders>
            <w:vAlign w:val="center"/>
          </w:tcPr>
          <w:p>
            <w:pPr>
              <w:rPr>
                <w:highlight w:val="none"/>
              </w:rPr>
            </w:pPr>
          </w:p>
        </w:tc>
        <w:tc>
          <w:tcPr>
            <w:tcW w:w="153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股份种类</w:t>
            </w:r>
          </w:p>
        </w:tc>
        <w:tc>
          <w:tcPr>
            <w:tcW w:w="157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8"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德华集团控股股份有限公司</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229,344,885</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229,344,885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8"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德华创业投资有限公司</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50,813,008</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50,813,008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德华兔宝宝装饰新材股份有限公司－第二期员工持股计划</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11,170,000</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11,170,000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中国工商银行股份有限公司－中欧时代先锋股票型发起式证券投资基金</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10,066,600</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10,066,600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9"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香港中央结算有限公司</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8,751,044</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8,751,044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漆勇</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8,340,000</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8,340,000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中国建设银行股份有限公司－中欧新蓝筹灵活配置混合型证券投资基金</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8,233,968</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8,233,968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3"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兴业银行股份有限公司－中欧新趋势股票型证券投资基金(LOF)</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6,962,419</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6,962,419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中国建设银行股份有限公司－中欧价值发现股票型证券投资基金</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5,963,130</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5,963,130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丁鸿敏</w:t>
            </w:r>
          </w:p>
        </w:tc>
        <w:tc>
          <w:tcPr>
            <w:tcW w:w="2395"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5,081,301</w:t>
            </w:r>
          </w:p>
        </w:tc>
        <w:tc>
          <w:tcPr>
            <w:tcW w:w="1538"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人民币普通股</w:t>
            </w:r>
          </w:p>
        </w:tc>
        <w:tc>
          <w:tcPr>
            <w:tcW w:w="1575"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5,081,301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4" w:hRule="atLeast"/>
        </w:trPr>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上述股东关联关系或一致行动的说明</w:t>
            </w:r>
          </w:p>
        </w:tc>
        <w:tc>
          <w:tcPr>
            <w:tcW w:w="550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前10名股东中，德华集团控股股份有限公司为本公司的控股股东，与公司实际控制人丁鸿敏及德华集团的控股子公司德华创业投资有限公司为一致行动人；与其他股东不存在关联关系，也不属于《上市公司收购管理办法》中规定的一致行动人。除此之外，本公司未知其他股东之间是否存在关联关系，也未知其他股东之间是否属于《上市公司收购管理办法》中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6" w:hRule="atLeast"/>
        </w:trPr>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前10名股东参与融资融券业务情况说明（如有）</w:t>
            </w:r>
          </w:p>
        </w:tc>
        <w:tc>
          <w:tcPr>
            <w:tcW w:w="5508"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不适用</w:t>
            </w:r>
          </w:p>
        </w:tc>
      </w:tr>
    </w:tbl>
    <w:p>
      <w:pPr>
        <w:keepNext/>
        <w:keepLines/>
        <w:spacing w:before="300" w:after="300" w:line="280" w:lineRule="exact"/>
        <w:jc w:val="left"/>
        <w:outlineLvl w:val="1"/>
        <w:rPr>
          <w:rFonts w:ascii="宋体" w:hAnsi="宋体" w:eastAsia="宋体" w:cs="宋体"/>
          <w:b/>
          <w:bCs/>
          <w:sz w:val="21"/>
          <w:szCs w:val="21"/>
          <w:highlight w:val="none"/>
        </w:rPr>
      </w:pPr>
      <w:bookmarkStart w:id="6" w:name="_Toc988895"/>
      <w:r>
        <w:rPr>
          <w:rFonts w:ascii="宋体" w:hAnsi="宋体" w:eastAsia="宋体" w:cs="宋体"/>
          <w:b/>
          <w:bCs/>
          <w:sz w:val="21"/>
          <w:szCs w:val="21"/>
          <w:highlight w:val="none"/>
        </w:rPr>
        <w:t>（二） 公司优先股股东总数及前10名优先股股东持股情况表</w:t>
      </w:r>
      <w:bookmarkEnd w:id="6"/>
    </w:p>
    <w:p>
      <w:pPr>
        <w:spacing w:before="40" w:after="40" w:line="240" w:lineRule="exact"/>
        <w:jc w:val="left"/>
        <w:rPr>
          <w:rFonts w:ascii="宋体" w:hAnsi="宋体" w:eastAsia="宋体" w:cs="宋体"/>
          <w:sz w:val="18"/>
          <w:szCs w:val="18"/>
          <w:highlight w:val="none"/>
        </w:rPr>
      </w:pPr>
      <w:r>
        <w:rPr>
          <w:rFonts w:ascii="宋体" w:hAnsi="宋体" w:eastAsia="宋体" w:cs="宋体"/>
          <w:sz w:val="18"/>
          <w:szCs w:val="18"/>
          <w:highlight w:val="none"/>
        </w:rPr>
        <w:t xml:space="preserve">□适用 </w:t>
      </w:r>
      <w:r>
        <w:rPr>
          <w:rFonts w:ascii="宋体" w:hAnsi="宋体" w:eastAsia="宋体" w:cs="宋体"/>
          <w:sz w:val="18"/>
          <w:szCs w:val="18"/>
          <w:highlight w:val="none"/>
        </w:rPr>
        <w:sym w:font="Wingdings 2" w:char="F052"/>
      </w:r>
      <w:r>
        <w:rPr>
          <w:rFonts w:ascii="宋体" w:hAnsi="宋体" w:eastAsia="宋体" w:cs="宋体"/>
          <w:sz w:val="18"/>
          <w:szCs w:val="18"/>
          <w:highlight w:val="none"/>
        </w:rPr>
        <w:t>不适用</w:t>
      </w:r>
    </w:p>
    <w:p>
      <w:pPr>
        <w:keepNext/>
        <w:keepLines/>
        <w:spacing w:before="300" w:after="300" w:line="320" w:lineRule="exact"/>
        <w:jc w:val="left"/>
        <w:outlineLvl w:val="0"/>
        <w:rPr>
          <w:rFonts w:ascii="宋体" w:hAnsi="宋体" w:eastAsia="宋体" w:cs="宋体"/>
          <w:b/>
          <w:bCs/>
          <w:sz w:val="24"/>
          <w:szCs w:val="24"/>
          <w:highlight w:val="none"/>
        </w:rPr>
      </w:pPr>
      <w:bookmarkStart w:id="7" w:name="_Toc988896"/>
      <w:r>
        <w:rPr>
          <w:rFonts w:ascii="宋体" w:hAnsi="宋体" w:eastAsia="宋体" w:cs="宋体"/>
          <w:b/>
          <w:bCs/>
          <w:sz w:val="24"/>
          <w:szCs w:val="24"/>
          <w:highlight w:val="none"/>
        </w:rPr>
        <w:t>三、其他重要事项</w:t>
      </w:r>
      <w:bookmarkEnd w:id="7"/>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sym w:font="Wingdings 2" w:char="F052"/>
      </w:r>
      <w:r>
        <w:rPr>
          <w:rFonts w:ascii="宋体" w:hAnsi="宋体" w:eastAsia="宋体" w:cs="宋体"/>
          <w:sz w:val="18"/>
          <w:szCs w:val="18"/>
          <w:highlight w:val="none"/>
        </w:rPr>
        <w:t>适用 □不适用</w:t>
      </w:r>
    </w:p>
    <w:p>
      <w:pPr>
        <w:pStyle w:val="2"/>
        <w:keepNext w:val="0"/>
        <w:keepLines w:val="0"/>
        <w:widowControl/>
        <w:suppressLineNumbers w:val="0"/>
        <w:spacing w:after="0" w:afterAutospacing="0"/>
        <w:rPr>
          <w:highlight w:val="none"/>
        </w:rPr>
      </w:pPr>
      <w:r>
        <w:rPr>
          <w:rFonts w:hint="eastAsia" w:ascii="宋体" w:hAnsi="宋体" w:eastAsia="宋体" w:cs="宋体"/>
          <w:sz w:val="18"/>
          <w:szCs w:val="18"/>
          <w:highlight w:val="none"/>
        </w:rPr>
        <w:t>2023年3月8日，公司披露《关于回购账户剩余股份注销完成暨股份变动的公告》（公告编号：2023-019），具体详见巨潮资讯网同日发布的公告；</w:t>
      </w:r>
    </w:p>
    <w:p>
      <w:pPr>
        <w:pStyle w:val="2"/>
        <w:keepNext w:val="0"/>
        <w:keepLines w:val="0"/>
        <w:widowControl/>
        <w:suppressLineNumbers w:val="0"/>
        <w:spacing w:before="0" w:beforeAutospacing="0"/>
        <w:rPr>
          <w:highlight w:val="none"/>
        </w:rPr>
      </w:pPr>
      <w:r>
        <w:rPr>
          <w:rFonts w:hint="eastAsia" w:ascii="宋体" w:hAnsi="宋体" w:eastAsia="宋体" w:cs="宋体"/>
          <w:sz w:val="18"/>
          <w:szCs w:val="18"/>
          <w:highlight w:val="none"/>
        </w:rPr>
        <w:t>2023年3月29日，公司披露《德华兔宝宝装饰新材股份有限公司向特定对象发行股票情况报告书》，具体详见巨潮资讯网同日发布的公告。</w:t>
      </w:r>
    </w:p>
    <w:p>
      <w:pPr>
        <w:keepNext/>
        <w:keepLines/>
        <w:spacing w:before="300" w:after="300" w:line="320" w:lineRule="exact"/>
        <w:jc w:val="left"/>
        <w:outlineLvl w:val="0"/>
        <w:rPr>
          <w:rFonts w:ascii="宋体" w:hAnsi="宋体" w:eastAsia="宋体" w:cs="宋体"/>
          <w:b/>
          <w:bCs/>
          <w:sz w:val="24"/>
          <w:szCs w:val="24"/>
          <w:highlight w:val="none"/>
        </w:rPr>
      </w:pPr>
      <w:bookmarkStart w:id="8" w:name="_Toc988897"/>
      <w:r>
        <w:rPr>
          <w:rFonts w:ascii="宋体" w:hAnsi="宋体" w:eastAsia="宋体" w:cs="宋体"/>
          <w:b/>
          <w:bCs/>
          <w:sz w:val="24"/>
          <w:szCs w:val="24"/>
          <w:highlight w:val="none"/>
        </w:rPr>
        <w:t>四、季度财务报表</w:t>
      </w:r>
      <w:bookmarkEnd w:id="8"/>
    </w:p>
    <w:p>
      <w:pPr>
        <w:keepNext/>
        <w:keepLines/>
        <w:spacing w:before="300" w:after="300" w:line="280" w:lineRule="exact"/>
        <w:jc w:val="left"/>
        <w:outlineLvl w:val="1"/>
        <w:rPr>
          <w:rFonts w:ascii="宋体" w:hAnsi="宋体" w:eastAsia="宋体" w:cs="宋体"/>
          <w:b/>
          <w:bCs/>
          <w:sz w:val="21"/>
          <w:szCs w:val="21"/>
          <w:highlight w:val="none"/>
        </w:rPr>
      </w:pPr>
      <w:bookmarkStart w:id="9" w:name="_Toc988898"/>
      <w:r>
        <w:rPr>
          <w:rFonts w:ascii="宋体" w:hAnsi="宋体" w:eastAsia="宋体" w:cs="宋体"/>
          <w:b/>
          <w:bCs/>
          <w:sz w:val="21"/>
          <w:szCs w:val="21"/>
          <w:highlight w:val="none"/>
        </w:rPr>
        <w:t>（一） 财务报表</w:t>
      </w:r>
      <w:bookmarkEnd w:id="9"/>
    </w:p>
    <w:p>
      <w:pPr>
        <w:keepNext/>
        <w:keepLines/>
        <w:spacing w:before="300" w:after="300" w:line="280" w:lineRule="exact"/>
        <w:jc w:val="left"/>
        <w:outlineLvl w:val="2"/>
        <w:rPr>
          <w:rFonts w:ascii="宋体" w:hAnsi="宋体" w:eastAsia="宋体" w:cs="宋体"/>
          <w:b/>
          <w:bCs/>
          <w:sz w:val="21"/>
          <w:szCs w:val="21"/>
          <w:highlight w:val="none"/>
        </w:rPr>
      </w:pPr>
      <w:bookmarkStart w:id="10" w:name="_Toc988899"/>
      <w:r>
        <w:rPr>
          <w:rFonts w:ascii="宋体" w:hAnsi="宋体" w:eastAsia="宋体" w:cs="宋体"/>
          <w:b/>
          <w:bCs/>
          <w:sz w:val="21"/>
          <w:szCs w:val="21"/>
          <w:highlight w:val="none"/>
        </w:rPr>
        <w:t>1、合并资产负债表</w:t>
      </w:r>
      <w:bookmarkEnd w:id="10"/>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编制单位：德华兔宝宝装饰新材股份有限公司</w:t>
      </w:r>
    </w:p>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2023年03月31日</w:t>
      </w:r>
    </w:p>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年初余额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1,005,919,835.18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693,164,134.45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38,313,371.85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61,310,809.71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1,251,474,192.55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1,376,069,815.99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6,290,732.86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10,699,933.44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39,906,590.90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31,085,357.36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70,530,241.55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77,283,785.74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highlight w:val="none"/>
              </w:rPr>
            </w:pPr>
            <w:r>
              <w:rPr>
                <w:rFonts w:ascii="宋体" w:hAnsi="宋体" w:eastAsia="宋体" w:cs="宋体"/>
                <w:sz w:val="18"/>
                <w:szCs w:val="18"/>
                <w:highlight w:val="none"/>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highlight w:val="none"/>
                <w:lang w:val="en-US" w:eastAsia="zh-CN"/>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541,477,789.66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529,289,623.86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59,240,013.36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65,332,010.46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74,910,410.86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33,477,900.35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12,818,582.90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10,128,269.62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3,100,881,761.67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2,887,841,640.98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17,535,839.32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17,315,388.40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659,196,771.24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657,129,381.24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13,305,898.42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12,699,352.14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524,009,413.28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555,593,123.79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15,706,778.34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10,330,440.69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70,417,873.91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76,927,846.55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92,748,713.43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99,819,006.07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762,114,518.83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762,114,518.83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16,904,165.69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18,037,322.91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141,043,933.81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131,969,354.94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34,206,026.59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25,894,595.19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2,347,189,932.86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2,367,830,330.75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5,448,071,694.53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5,255,671,971.73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303,768,023.95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364,655,732.46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90,750,000.00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118,416,700.00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995,144,584.71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1,208,941,957.72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179,621,433.77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160,560,676.47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60,910,739.67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100,224,955.89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131,692,065.92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218,043,576.32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493,717,332.89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449,882,957.76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highlight w:val="none"/>
              </w:rPr>
            </w:pPr>
            <w:r>
              <w:rPr>
                <w:rFonts w:ascii="宋体" w:hAnsi="宋体" w:eastAsia="宋体" w:cs="宋体"/>
                <w:sz w:val="18"/>
                <w:szCs w:val="18"/>
                <w:highlight w:val="none"/>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21,026,954.00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hint="eastAsia" w:ascii="宋体" w:hAnsi="宋体" w:cs="宋体"/>
                <w:sz w:val="18"/>
                <w:szCs w:val="18"/>
                <w:highlight w:val="none"/>
                <w:lang w:val="en-US" w:eastAsia="zh-CN"/>
              </w:rPr>
              <w:t>21,026,954.00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41,201,701.96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23,207,249.22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19,919,195.58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28,149,783.65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17,528,172.24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19,940,674.82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2,334,253,250.69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2,692,024,264.31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highlight w:val="none"/>
              </w:rPr>
            </w:pPr>
            <w:r>
              <w:rPr>
                <w:rFonts w:ascii="宋体" w:hAnsi="宋体" w:eastAsia="宋体" w:cs="宋体"/>
                <w:sz w:val="18"/>
                <w:szCs w:val="18"/>
                <w:highlight w:val="none"/>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42,843,881.37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42,449,045.53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9,470,878.01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9,453,923.72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1,380,661.00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1,380,661.00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20,742,860.37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20,674,121.45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13,092,103.05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11,501,612.39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87,530,383.80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85,459,364.09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2,421,783,634.49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2,777,483,628.40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844,262,959.00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772,841,781.00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highlight w:val="none"/>
              </w:rPr>
            </w:pPr>
            <w:r>
              <w:rPr>
                <w:rFonts w:ascii="宋体" w:hAnsi="宋体" w:eastAsia="宋体" w:cs="宋体"/>
                <w:sz w:val="18"/>
                <w:szCs w:val="18"/>
                <w:highlight w:val="none"/>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685,411,757.32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267,374,416.75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263,476,146.44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263,531,593.94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604,996.77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1,895,480.63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160,544,559.65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160,536,930.11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1,482,811,416.80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1,408,023,025.08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2,910,159,543.10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2,347,140,039.63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116,128,516.94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131,048,303.70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3,026,288,060.04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2,478,188,343.33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5,448,071,694.53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5,255,671,971.73</w:t>
            </w:r>
          </w:p>
        </w:tc>
      </w:tr>
    </w:tbl>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法定代表人：丁鸿敏    主管会计工作负责人：陆利华      会计机构负责人：姚红霞</w:t>
      </w:r>
    </w:p>
    <w:p>
      <w:pPr>
        <w:keepNext/>
        <w:keepLines/>
        <w:spacing w:before="300" w:after="300" w:line="280" w:lineRule="exact"/>
        <w:jc w:val="left"/>
        <w:outlineLvl w:val="2"/>
        <w:rPr>
          <w:rFonts w:ascii="宋体" w:hAnsi="宋体" w:eastAsia="宋体" w:cs="宋体"/>
          <w:b/>
          <w:bCs/>
          <w:sz w:val="21"/>
          <w:szCs w:val="21"/>
          <w:highlight w:val="none"/>
        </w:rPr>
      </w:pPr>
      <w:bookmarkStart w:id="11" w:name="_Toc988900"/>
      <w:r>
        <w:rPr>
          <w:rFonts w:ascii="宋体" w:hAnsi="宋体" w:eastAsia="宋体" w:cs="宋体"/>
          <w:b/>
          <w:bCs/>
          <w:sz w:val="21"/>
          <w:szCs w:val="21"/>
          <w:highlight w:val="none"/>
        </w:rPr>
        <w:t>2、合并利润表</w:t>
      </w:r>
      <w:bookmarkEnd w:id="11"/>
    </w:p>
    <w:p>
      <w:pPr>
        <w:spacing w:before="40" w:after="40" w:line="240" w:lineRule="exact"/>
        <w:jc w:val="right"/>
        <w:rPr>
          <w:rFonts w:ascii="宋体" w:hAnsi="宋体" w:eastAsia="宋体" w:cs="宋体"/>
          <w:sz w:val="18"/>
          <w:szCs w:val="18"/>
          <w:highlight w:val="none"/>
        </w:rPr>
      </w:pPr>
      <w:r>
        <w:rPr>
          <w:rFonts w:ascii="宋体" w:hAnsi="宋体" w:eastAsia="宋体" w:cs="宋体"/>
          <w:sz w:val="18"/>
          <w:szCs w:val="18"/>
          <w:highlight w:val="none"/>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61"/>
        <w:gridCol w:w="2325"/>
        <w:gridCol w:w="23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项目</w:t>
            </w:r>
          </w:p>
        </w:tc>
        <w:tc>
          <w:tcPr>
            <w:tcW w:w="232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本期发生额</w:t>
            </w:r>
          </w:p>
        </w:tc>
        <w:tc>
          <w:tcPr>
            <w:tcW w:w="235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一、营业总收入</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1,111,734,656.89</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1,626,559,690.87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其中：营业收入</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1,111,734,656.89</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1,626,559,690.87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利息收入</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已赚保费</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手续费及佣金收入</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highlight w:val="none"/>
              </w:rPr>
            </w:pPr>
            <w:r>
              <w:rPr>
                <w:rFonts w:ascii="宋体" w:hAnsi="宋体" w:eastAsia="宋体" w:cs="宋体"/>
                <w:sz w:val="18"/>
                <w:szCs w:val="18"/>
                <w:highlight w:val="none"/>
              </w:rPr>
              <w:t>二、营业总成本</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1,013,368,914.59</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1,518,378,920.58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其中：营业成本</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858,841,118.95</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1,325,443,081.27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利息支出</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手续费及佣金支出</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退保金</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赔付支出净额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提取保险责任准备金净额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保单红利支出</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分保费用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税金及附加</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5,746,767.23</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5,444,908.47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销售费用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55,172,216.93</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67,742,912.00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管理费用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76,373,838.66</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96,534,438.48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研发费用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14,282,350.88</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16,442,224.37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highlight w:val="none"/>
              </w:rPr>
            </w:pPr>
            <w:r>
              <w:rPr>
                <w:rFonts w:ascii="宋体" w:hAnsi="宋体" w:eastAsia="宋体" w:cs="宋体"/>
                <w:sz w:val="18"/>
                <w:szCs w:val="18"/>
                <w:highlight w:val="none"/>
              </w:rPr>
              <w:t>财务费用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2,952,621.94</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6,771,355.99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highlight w:val="none"/>
              </w:rPr>
            </w:pPr>
            <w:r>
              <w:rPr>
                <w:rFonts w:ascii="宋体" w:hAnsi="宋体" w:eastAsia="宋体" w:cs="宋体"/>
                <w:sz w:val="18"/>
                <w:szCs w:val="18"/>
                <w:highlight w:val="none"/>
              </w:rPr>
              <w:t>其中：利息费用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3,195,091.84</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9,787,044.61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highlight w:val="none"/>
              </w:rPr>
            </w:pPr>
            <w:r>
              <w:rPr>
                <w:rFonts w:ascii="宋体" w:hAnsi="宋体" w:eastAsia="宋体" w:cs="宋体"/>
                <w:sz w:val="18"/>
                <w:szCs w:val="18"/>
                <w:highlight w:val="none"/>
              </w:rPr>
              <w:t>利息收入</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1,359,113.85</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1,100,114.33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加：其他收益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3,417,907.52</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5,647,710.51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投资收益（损失以“－”号填列）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6,673,557.77</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11,498,601.11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highlight w:val="none"/>
              </w:rPr>
            </w:pPr>
            <w:r>
              <w:rPr>
                <w:rFonts w:ascii="宋体" w:hAnsi="宋体" w:eastAsia="宋体" w:cs="宋体"/>
                <w:sz w:val="18"/>
                <w:szCs w:val="18"/>
                <w:highlight w:val="none"/>
              </w:rPr>
              <w:t>其中：对联营企业和合营企业的投资收益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220,450.92</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15,736.85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highlight w:val="none"/>
              </w:rPr>
            </w:pPr>
            <w:r>
              <w:rPr>
                <w:rFonts w:ascii="宋体" w:hAnsi="宋体" w:eastAsia="宋体" w:cs="宋体"/>
                <w:sz w:val="18"/>
                <w:szCs w:val="18"/>
                <w:highlight w:val="none"/>
              </w:rPr>
              <w:t>以摊余成本计量的金融资产终止确认收益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5,225,587.57</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汇兑收益（损失以“-”号填列）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净敞口套期收益（损失以“－”号填列）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公允价值变动收益（损失以“－”号填列）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2,067,390.00</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信用减值损失（损失以“-”号填列）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-1,450,456.41</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-2,360,682.09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资产减值损失（损失以“-”号填列）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209,535.95</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411,845.20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资产处置收益（损失以“-”号填列）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1,601.25</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-4,762.06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三、营业利润（亏损以“－”填列）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109,285,278.38</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123,373,482.96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加：营业外收入</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4,127,572.63</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3,260,522.06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减：营业外支出</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554,868.20</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661,548.76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四、利润总额（亏损总额以“－”填列）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112,857,982.81</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125,972,456.26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减：所得税费用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38,236,930.07</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28,304,148.71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五、净利润（净亏损以“－”号填列）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74,621,052.74</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97,668,307.55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（一）按经营持续性分类</w:t>
            </w:r>
          </w:p>
        </w:tc>
        <w:tc>
          <w:tcPr>
            <w:tcW w:w="2325"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235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1.持续经营净利润（净亏损以“－”号填列）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75,900,250.19</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99,518,689.93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2.终止经营净利润（净亏损以“－”号填列）</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-1,279,197.45</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-1,850,382.38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（二）按所有权归属分类</w:t>
            </w:r>
          </w:p>
        </w:tc>
        <w:tc>
          <w:tcPr>
            <w:tcW w:w="2325"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235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1.归属于母公司所有者的净利润</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74,532,065.50</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94,903,072.28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2.少数股东损益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88,987.24</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2,765,235.27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六、其他综合收益的税后净额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-1,526,246.91</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-431,826.35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归属母公司所有者的其他综合收益的税后净额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-1,290,483.86</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-362,817.49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（一）不能重分类进损益的其他综合收益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0.00</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1.重新计量设定受益计划变动额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2.权益法下不能转损益的其他综合收益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3.其他权益工具投资公允价值变动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4.企业自身信用风险公允价值变动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5.其他</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（二）将重分类进损益的其他综合收益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-1,290,483.86</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-362,817.49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1.权益法下可转损益的其他综合收益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2.其他债权投资公允价值变动</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3.金融资产重分类计入其他综合收益的金额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4.其他债权投资信用减值准备</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5.现金流量套期储备</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6.外币财务报表折算差额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-1,290,483.86</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-362,817.49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highlight w:val="none"/>
              </w:rPr>
            </w:pPr>
            <w:r>
              <w:rPr>
                <w:rFonts w:ascii="宋体" w:hAnsi="宋体" w:eastAsia="宋体" w:cs="宋体"/>
                <w:sz w:val="18"/>
                <w:szCs w:val="18"/>
                <w:highlight w:val="none"/>
              </w:rPr>
              <w:t>7.其他</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归属于少数股东的其他综合收益的税后净额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-235,763.05</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-69,008.86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七、综合收益总额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73,094,805.83</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97,236,481.20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归属于母公司所有者的综合收益总额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73,241,581.64</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94,540,254.79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归属于少数股东的综合收益总额</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-146,775.81</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2,696,226.41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八、每股收益：</w:t>
            </w:r>
          </w:p>
        </w:tc>
        <w:tc>
          <w:tcPr>
            <w:tcW w:w="2325"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235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（一）基本每股收益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0.10</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6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（二）稀释每股收益</w:t>
            </w:r>
          </w:p>
        </w:tc>
        <w:tc>
          <w:tcPr>
            <w:tcW w:w="23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0.10</w:t>
            </w:r>
          </w:p>
        </w:tc>
        <w:tc>
          <w:tcPr>
            <w:tcW w:w="235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0.13</w:t>
            </w:r>
          </w:p>
        </w:tc>
      </w:tr>
    </w:tbl>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本期发生同一控制下企业合并的，被合并方在合并前实现的净利润为：</w:t>
      </w:r>
      <w:r>
        <w:rPr>
          <w:rFonts w:hint="eastAsia" w:ascii="宋体" w:hAnsi="宋体" w:cs="宋体"/>
          <w:sz w:val="18"/>
          <w:szCs w:val="18"/>
          <w:highlight w:val="none"/>
          <w:lang w:val="en-US" w:eastAsia="zh-CN"/>
        </w:rPr>
        <w:t>0.00</w:t>
      </w:r>
      <w:r>
        <w:rPr>
          <w:rFonts w:ascii="宋体" w:hAnsi="宋体" w:eastAsia="宋体" w:cs="宋体"/>
          <w:sz w:val="18"/>
          <w:szCs w:val="18"/>
          <w:highlight w:val="none"/>
        </w:rPr>
        <w:t>元，上期被合并方实现的净利润为：</w:t>
      </w:r>
      <w:r>
        <w:rPr>
          <w:rFonts w:hint="eastAsia" w:ascii="宋体" w:hAnsi="宋体" w:cs="宋体"/>
          <w:sz w:val="18"/>
          <w:szCs w:val="18"/>
          <w:highlight w:val="none"/>
          <w:lang w:val="en-US" w:eastAsia="zh-CN"/>
        </w:rPr>
        <w:t>0.00</w:t>
      </w:r>
      <w:r>
        <w:rPr>
          <w:rFonts w:ascii="宋体" w:hAnsi="宋体" w:eastAsia="宋体" w:cs="宋体"/>
          <w:sz w:val="18"/>
          <w:szCs w:val="18"/>
          <w:highlight w:val="none"/>
        </w:rPr>
        <w:t>元。</w:t>
      </w:r>
    </w:p>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法定代表人：丁鸿敏    主管会计工作负责人：陆利华    会计机构负责人：姚红霞</w:t>
      </w:r>
    </w:p>
    <w:p>
      <w:pPr>
        <w:keepNext/>
        <w:keepLines/>
        <w:spacing w:before="300" w:after="300" w:line="280" w:lineRule="exact"/>
        <w:jc w:val="left"/>
        <w:outlineLvl w:val="2"/>
        <w:rPr>
          <w:rFonts w:ascii="宋体" w:hAnsi="宋体" w:eastAsia="宋体" w:cs="宋体"/>
          <w:b/>
          <w:bCs/>
          <w:sz w:val="21"/>
          <w:szCs w:val="21"/>
          <w:highlight w:val="none"/>
        </w:rPr>
      </w:pPr>
      <w:bookmarkStart w:id="12" w:name="_Toc988901"/>
      <w:r>
        <w:rPr>
          <w:rFonts w:ascii="宋体" w:hAnsi="宋体" w:eastAsia="宋体" w:cs="宋体"/>
          <w:b/>
          <w:bCs/>
          <w:sz w:val="21"/>
          <w:szCs w:val="21"/>
          <w:highlight w:val="none"/>
        </w:rPr>
        <w:t>3、合并现金流量表</w:t>
      </w:r>
      <w:bookmarkEnd w:id="12"/>
    </w:p>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单位：元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42"/>
        <w:gridCol w:w="2334"/>
        <w:gridCol w:w="2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项目</w:t>
            </w:r>
          </w:p>
        </w:tc>
        <w:tc>
          <w:tcPr>
            <w:tcW w:w="233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本期发生额</w:t>
            </w:r>
          </w:p>
        </w:tc>
        <w:tc>
          <w:tcPr>
            <w:tcW w:w="23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highlight w:val="none"/>
              </w:rPr>
            </w:pPr>
            <w:r>
              <w:rPr>
                <w:rFonts w:ascii="宋体" w:hAnsi="宋体" w:eastAsia="宋体" w:cs="宋体"/>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一、经营活动产生的现金流量：</w:t>
            </w:r>
          </w:p>
        </w:tc>
        <w:tc>
          <w:tcPr>
            <w:tcW w:w="2334"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236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销售商品、提供劳务收到的现金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1,319,585,479.06</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1,685,788,000.42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客户存款和同业存放款项净增加额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向中央银行借款净增加额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向其他金融机构拆入资金净增加额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收到原保险合同保费取得的现金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收到再保业务现金净额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保户储金及投资款净增加额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收取利息、手续费及佣金的现金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拆入资金净增加额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回购业务资金净增加额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代理买卖证券收到的现金净额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收到的税费返还</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1,712,590.95</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3,017,651.94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收到其他与经营活动有关的现金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17,795,315.22</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146,069,401.78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经营活动现金流入小计</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1,339,093,385.23</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1,834,875,054.14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购买商品、接受劳务支付的现金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1,038,999,066.89</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1,472,783,184.61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客户贷款及垫款净增加额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存放中央银行和同业款项净增加额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支付原保险合同赔付款项的现金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拆出资金净增加额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支付利息、手续费及佣金的现金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支付保单红利的现金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支付给职工以及为职工支付的现金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152,668,645.93</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161,449,085.81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支付的各项税费</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164,696,961.91</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222,843,960.30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支付其他与经营活动有关的现金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61,494,825.25</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369,163,731.00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经营活动现金流出小计</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1,417,859,499.98</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2,226,239,961.72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经营活动产生的现金流量净额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-78,766,114.75</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-391,364,907.58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二、投资活动产生的现金流量：</w:t>
            </w:r>
          </w:p>
        </w:tc>
        <w:tc>
          <w:tcPr>
            <w:tcW w:w="2334"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236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收回投资收到的现金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取得投资收益收到的现金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358,048.50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6,523,604.69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处置固定资产、无形资产和其他长期资产收回的现金净额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3,017,962.70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91,477.49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处置子公司及其他营业单位收到的现金净额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30,000,000.00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收到其他与投资活动有关的现金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投资活动现金流入小计</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33,376,011.20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6,615,082.18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购建固定资产、无形资产和其他长期资产所支付的现金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15,696,160.76</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26,329,687.07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投资支付的现金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质押贷款净增加额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取得子公司及其他营业单位支付的现金净额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支付其他与投资活动有关的现金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投资活动现金流出小计</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15,696,160.76</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26,329,687.07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投资活动产生的现金流量净额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17,679,850.44</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-19,714,604.89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三、筹资活动产生的现金流量：</w:t>
            </w:r>
          </w:p>
        </w:tc>
        <w:tc>
          <w:tcPr>
            <w:tcW w:w="2334"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c>
          <w:tcPr>
            <w:tcW w:w="2363" w:type="dxa"/>
            <w:tcBorders>
              <w:top w:val="single" w:color="auto" w:sz="2" w:space="0"/>
              <w:left w:val="single" w:color="auto" w:sz="2" w:space="0"/>
              <w:bottom w:val="single" w:color="auto" w:sz="2" w:space="0"/>
              <w:right w:val="single" w:color="auto" w:sz="2" w:space="0"/>
            </w:tcBorders>
            <w:shd w:val="clear" w:color="auto" w:fill="D3D3D3"/>
            <w:vAlign w:val="center"/>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吸收投资收到的现金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462,628,568.63</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其中：子公司吸收少数股东投资收到的现金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取得借款收到的现金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240,000,000.00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438,821,504.82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收到其他与筹资活动有关的现金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30,000,000.00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181,000,000.00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筹资活动现金流入小计</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732,628,568.63</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619,821,504.82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偿还债务支付的现金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223,000,000.00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479,423,630.57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分配股利、利润或偿付利息支付的现金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14,716,680.53</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12,268,945.40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highlight w:val="none"/>
              </w:rPr>
            </w:pPr>
            <w:r>
              <w:rPr>
                <w:rFonts w:ascii="宋体" w:hAnsi="宋体" w:eastAsia="宋体" w:cs="宋体"/>
                <w:sz w:val="18"/>
                <w:szCs w:val="18"/>
                <w:highlight w:val="none"/>
              </w:rPr>
              <w:t>其中：子公司支付给少数股东的股利、利润</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支付其他与筹资活动有关的现金</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111,185,769.65</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5,896,213.27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筹资活动现金流出小计</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348,902,450.18</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497,588,789.24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筹资活动产生的现金流量净额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383,726,118.45</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122,232,715.58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四、汇率变动对现金及现金等价物的影响</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-465,258.04</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-291,512.05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五、现金及现金等价物净增加额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322,174,596.10</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-289,138,308.94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highlight w:val="none"/>
              </w:rPr>
            </w:pPr>
            <w:r>
              <w:rPr>
                <w:rFonts w:ascii="宋体" w:hAnsi="宋体" w:eastAsia="宋体" w:cs="宋体"/>
                <w:sz w:val="18"/>
                <w:szCs w:val="18"/>
                <w:highlight w:val="none"/>
              </w:rPr>
              <w:t>加：期初现金及现金等价物余额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654,690,269.87</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550,399,633.88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9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highlight w:val="none"/>
              </w:rPr>
            </w:pPr>
            <w:r>
              <w:rPr>
                <w:rFonts w:ascii="宋体" w:hAnsi="宋体" w:eastAsia="宋体" w:cs="宋体"/>
                <w:sz w:val="18"/>
                <w:szCs w:val="18"/>
                <w:highlight w:val="none"/>
              </w:rPr>
              <w:t>六、期末现金及现金等价物余额</w:t>
            </w:r>
          </w:p>
        </w:tc>
        <w:tc>
          <w:tcPr>
            <w:tcW w:w="23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976,864,865.97</w:t>
            </w:r>
          </w:p>
        </w:tc>
        <w:tc>
          <w:tcPr>
            <w:tcW w:w="23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highlight w:val="none"/>
              </w:rPr>
            </w:pPr>
            <w:r>
              <w:rPr>
                <w:rFonts w:ascii="宋体" w:hAnsi="宋体" w:eastAsia="宋体" w:cs="宋体"/>
                <w:sz w:val="18"/>
                <w:szCs w:val="18"/>
                <w:highlight w:val="none"/>
              </w:rPr>
              <w:t>261,261,324.94</w:t>
            </w:r>
          </w:p>
        </w:tc>
      </w:tr>
    </w:tbl>
    <w:p>
      <w:pPr>
        <w:keepNext/>
        <w:keepLines/>
        <w:spacing w:before="300" w:after="300" w:line="280" w:lineRule="exact"/>
        <w:jc w:val="left"/>
        <w:outlineLvl w:val="1"/>
        <w:rPr>
          <w:rFonts w:ascii="宋体" w:hAnsi="宋体" w:eastAsia="宋体" w:cs="宋体"/>
          <w:b/>
          <w:bCs/>
          <w:sz w:val="25"/>
          <w:szCs w:val="25"/>
          <w:highlight w:val="none"/>
        </w:rPr>
      </w:pPr>
      <w:bookmarkStart w:id="13" w:name="_Toc988902"/>
      <w:r>
        <w:rPr>
          <w:rFonts w:ascii="宋体" w:hAnsi="宋体" w:eastAsia="宋体" w:cs="宋体"/>
          <w:b/>
          <w:bCs/>
          <w:sz w:val="25"/>
          <w:szCs w:val="25"/>
          <w:highlight w:val="none"/>
        </w:rPr>
        <w:t>（二） 审计报告</w:t>
      </w:r>
      <w:bookmarkEnd w:id="13"/>
    </w:p>
    <w:p>
      <w:pPr>
        <w:spacing w:before="40" w:after="40" w:line="360" w:lineRule="auto"/>
        <w:jc w:val="left"/>
        <w:rPr>
          <w:rFonts w:ascii="宋体" w:hAnsi="宋体" w:eastAsia="宋体" w:cs="宋体"/>
          <w:sz w:val="21"/>
          <w:szCs w:val="21"/>
          <w:highlight w:val="none"/>
        </w:rPr>
      </w:pPr>
      <w:r>
        <w:rPr>
          <w:rFonts w:ascii="宋体" w:hAnsi="宋体" w:eastAsia="宋体" w:cs="宋体"/>
          <w:sz w:val="21"/>
          <w:szCs w:val="21"/>
          <w:highlight w:val="none"/>
        </w:rPr>
        <w:t>第一季度报告是否经过审计</w:t>
      </w:r>
    </w:p>
    <w:p>
      <w:pPr>
        <w:spacing w:before="40" w:after="40" w:line="360" w:lineRule="auto"/>
        <w:jc w:val="left"/>
        <w:rPr>
          <w:rFonts w:ascii="宋体" w:hAnsi="宋体" w:eastAsia="宋体" w:cs="宋体"/>
          <w:sz w:val="21"/>
          <w:szCs w:val="21"/>
          <w:highlight w:val="none"/>
        </w:rPr>
      </w:pPr>
      <w:r>
        <w:rPr>
          <w:rFonts w:ascii="宋体" w:hAnsi="宋体" w:eastAsia="宋体" w:cs="宋体"/>
          <w:sz w:val="21"/>
          <w:szCs w:val="21"/>
          <w:highlight w:val="none"/>
        </w:rPr>
        <w:t xml:space="preserve">□是 </w:t>
      </w:r>
      <w:r>
        <w:rPr>
          <w:rFonts w:ascii="宋体" w:hAnsi="宋体" w:eastAsia="宋体" w:cs="宋体"/>
          <w:sz w:val="21"/>
          <w:szCs w:val="21"/>
          <w:highlight w:val="none"/>
        </w:rPr>
        <w:sym w:font="Wingdings 2" w:char="F052"/>
      </w:r>
      <w:r>
        <w:rPr>
          <w:rFonts w:ascii="宋体" w:hAnsi="宋体" w:eastAsia="宋体" w:cs="宋体"/>
          <w:sz w:val="21"/>
          <w:szCs w:val="21"/>
          <w:highlight w:val="none"/>
        </w:rPr>
        <w:t>否</w:t>
      </w:r>
    </w:p>
    <w:p>
      <w:pPr>
        <w:spacing w:before="40" w:after="40" w:line="360" w:lineRule="auto"/>
        <w:jc w:val="left"/>
        <w:rPr>
          <w:rFonts w:ascii="宋体" w:hAnsi="宋体" w:eastAsia="宋体" w:cs="宋体"/>
          <w:sz w:val="21"/>
          <w:szCs w:val="21"/>
          <w:highlight w:val="none"/>
        </w:rPr>
      </w:pPr>
      <w:r>
        <w:rPr>
          <w:rFonts w:ascii="宋体" w:hAnsi="宋体" w:eastAsia="宋体" w:cs="宋体"/>
          <w:sz w:val="21"/>
          <w:szCs w:val="21"/>
          <w:highlight w:val="none"/>
        </w:rPr>
        <w:t>公司第一季度报告未经审计。</w:t>
      </w:r>
    </w:p>
    <w:p>
      <w:pPr>
        <w:spacing w:before="40" w:after="40" w:line="360" w:lineRule="auto"/>
        <w:jc w:val="right"/>
        <w:rPr>
          <w:rFonts w:ascii="宋体" w:hAnsi="宋体" w:eastAsia="宋体" w:cs="宋体"/>
          <w:sz w:val="21"/>
          <w:szCs w:val="21"/>
          <w:highlight w:val="none"/>
        </w:rPr>
      </w:pPr>
    </w:p>
    <w:p>
      <w:pPr>
        <w:spacing w:before="40" w:after="40" w:line="360" w:lineRule="auto"/>
        <w:jc w:val="right"/>
        <w:rPr>
          <w:rFonts w:ascii="宋体" w:hAnsi="宋体" w:eastAsia="宋体" w:cs="宋体"/>
          <w:sz w:val="21"/>
          <w:szCs w:val="21"/>
          <w:highlight w:val="none"/>
        </w:rPr>
      </w:pPr>
    </w:p>
    <w:p>
      <w:pPr>
        <w:spacing w:before="40" w:after="40" w:line="360" w:lineRule="auto"/>
        <w:jc w:val="right"/>
        <w:rPr>
          <w:rFonts w:ascii="宋体" w:hAnsi="宋体" w:eastAsia="宋体" w:cs="宋体"/>
          <w:sz w:val="21"/>
          <w:szCs w:val="21"/>
          <w:highlight w:val="none"/>
        </w:rPr>
      </w:pPr>
      <w:r>
        <w:rPr>
          <w:rFonts w:ascii="宋体" w:hAnsi="宋体" w:eastAsia="宋体" w:cs="宋体"/>
          <w:sz w:val="21"/>
          <w:szCs w:val="21"/>
          <w:highlight w:val="none"/>
        </w:rPr>
        <w:t>德华兔宝宝装饰新材股份有限公司</w:t>
      </w:r>
    </w:p>
    <w:p>
      <w:pPr>
        <w:spacing w:before="40" w:after="40" w:line="360" w:lineRule="auto"/>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 xml:space="preserve">                                                              </w:t>
      </w:r>
      <w:r>
        <w:rPr>
          <w:rFonts w:ascii="宋体" w:hAnsi="宋体" w:eastAsia="宋体" w:cs="宋体"/>
          <w:sz w:val="21"/>
          <w:szCs w:val="21"/>
          <w:highlight w:val="none"/>
        </w:rPr>
        <w:t>董事会</w:t>
      </w:r>
    </w:p>
    <w:p>
      <w:pPr>
        <w:spacing w:before="0" w:after="0" w:line="360" w:lineRule="auto"/>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 xml:space="preserve">                                                               </w:t>
      </w:r>
      <w:bookmarkStart w:id="14" w:name="_GoBack"/>
      <w:bookmarkEnd w:id="14"/>
      <w:r>
        <w:rPr>
          <w:rFonts w:ascii="宋体" w:hAnsi="宋体" w:eastAsia="宋体" w:cs="宋体"/>
          <w:sz w:val="21"/>
          <w:szCs w:val="21"/>
          <w:highlight w:val="none"/>
        </w:rPr>
        <w:t>2023年04月28日</w:t>
      </w:r>
    </w:p>
    <w:sectPr>
      <w:headerReference r:id="rId3" w:type="default"/>
      <w:footerReference r:id="rId4" w:type="default"/>
      <w:pgSz w:w="11905" w:h="16840"/>
      <w:pgMar w:top="1440" w:right="1077"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德华兔宝宝装饰新材股份有限公司2023年第一季度报告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BA36"/>
    <w:multiLevelType w:val="singleLevel"/>
    <w:tmpl w:val="87E9BA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
  <w:docVars>
    <w:docVar w:name="commondata" w:val="eyJoZGlkIjoiOTgzNDk3MTU1M2MxYjFmMGQ3OWYxZTlhZDIwMzM5NGMifQ=="/>
  </w:docVars>
  <w:rsids>
    <w:rsidRoot w:val="00000000"/>
    <w:rsid w:val="09084C80"/>
    <w:rsid w:val="0A404466"/>
    <w:rsid w:val="0D550A92"/>
    <w:rsid w:val="0F5918EE"/>
    <w:rsid w:val="120C1EE6"/>
    <w:rsid w:val="20DD244F"/>
    <w:rsid w:val="37FA272C"/>
    <w:rsid w:val="38890AA3"/>
    <w:rsid w:val="3AFC44DE"/>
    <w:rsid w:val="40384A7B"/>
    <w:rsid w:val="5BB93F58"/>
    <w:rsid w:val="61B3216A"/>
    <w:rsid w:val="66064C61"/>
    <w:rsid w:val="6759371A"/>
    <w:rsid w:val="71CF7BDA"/>
    <w:rsid w:val="72654DF9"/>
    <w:rsid w:val="729655E5"/>
    <w:rsid w:val="73062264"/>
    <w:rsid w:val="732F70BC"/>
    <w:rsid w:val="73DC1B41"/>
    <w:rsid w:val="75122514"/>
    <w:rsid w:val="7A8253A8"/>
    <w:rsid w:val="7AD95625"/>
    <w:rsid w:val="7FB85F2D"/>
    <w:rsid w:val="7FD03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6159</Words>
  <Characters>10703</Characters>
  <TotalTime>14</TotalTime>
  <ScaleCrop>false</ScaleCrop>
  <LinksUpToDate>false</LinksUpToDate>
  <CharactersWithSpaces>10838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2023-04-24T13:11:00Z</dcterms:created>
  <dc:creator>创景</dc:creator>
  <cp:lastModifiedBy>朱丹莎</cp:lastModifiedBy>
  <dcterms:modified xsi:type="dcterms:W3CDTF">2023-04-27T05:58:27Z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37BE60DA3897456DA9F4E51C62F41788</vt:lpwstr>
  </property>
</Properties>
</file>