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0" w:after="1000" w:line="560" w:lineRule="exact"/>
        <w:jc w:val="center"/>
        <w:rPr>
          <w:rFonts w:hint="default" w:ascii="宋体" w:hAnsi="宋体" w:eastAsia="宋体" w:cs="宋体"/>
          <w:sz w:val="24"/>
          <w:szCs w:val="24"/>
          <w:lang w:val="en-US" w:eastAsia="zh-CN"/>
        </w:rPr>
      </w:pPr>
      <w:r>
        <w:rPr>
          <w:rFonts w:ascii="宋体" w:hAnsi="宋体" w:eastAsia="宋体" w:cs="宋体"/>
          <w:sz w:val="24"/>
          <w:szCs w:val="24"/>
        </w:rPr>
        <w:t xml:space="preserve">证券代码：002043            证券简称：兔 宝 宝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公告编号：202</w:t>
      </w:r>
      <w:r>
        <w:rPr>
          <w:rFonts w:hint="eastAsia" w:ascii="宋体" w:hAnsi="宋体" w:cs="宋体"/>
          <w:sz w:val="24"/>
          <w:szCs w:val="24"/>
          <w:lang w:val="en-US" w:eastAsia="zh-CN"/>
        </w:rPr>
        <w:t>3</w:t>
      </w:r>
      <w:r>
        <w:rPr>
          <w:rFonts w:ascii="宋体" w:hAnsi="宋体" w:eastAsia="宋体" w:cs="宋体"/>
          <w:sz w:val="24"/>
          <w:szCs w:val="24"/>
        </w:rPr>
        <w:t>-</w:t>
      </w:r>
      <w:r>
        <w:rPr>
          <w:rFonts w:hint="eastAsia" w:ascii="宋体" w:hAnsi="宋体" w:eastAsia="宋体" w:cs="宋体"/>
          <w:sz w:val="24"/>
          <w:szCs w:val="24"/>
          <w:lang w:val="en-US" w:eastAsia="zh-CN"/>
        </w:rPr>
        <w:t>024</w:t>
      </w:r>
    </w:p>
    <w:p>
      <w:pPr>
        <w:spacing w:before="0" w:after="468" w:afterAutospacing="0" w:line="400" w:lineRule="exact"/>
        <w:jc w:val="center"/>
        <w:rPr>
          <w:rFonts w:ascii="宋体" w:hAnsi="宋体" w:eastAsia="宋体" w:cs="宋体"/>
          <w:b/>
          <w:bCs/>
          <w:sz w:val="36"/>
          <w:szCs w:val="36"/>
        </w:rPr>
      </w:pPr>
      <w:r>
        <w:rPr>
          <w:rFonts w:ascii="宋体" w:hAnsi="宋体" w:eastAsia="宋体" w:cs="宋体"/>
          <w:b/>
          <w:bCs/>
          <w:sz w:val="36"/>
          <w:szCs w:val="36"/>
        </w:rPr>
        <w:t>德华兔宝宝装饰新材股份有限公司</w:t>
      </w:r>
    </w:p>
    <w:p>
      <w:pPr>
        <w:spacing w:beforeAutospacing="0" w:after="468" w:afterAutospacing="0" w:line="400" w:lineRule="exact"/>
        <w:jc w:val="center"/>
        <w:rPr>
          <w:rFonts w:ascii="宋体" w:hAnsi="宋体" w:eastAsia="宋体" w:cs="宋体"/>
          <w:b/>
          <w:bCs/>
          <w:sz w:val="36"/>
          <w:szCs w:val="36"/>
        </w:rPr>
      </w:pPr>
      <w:r>
        <w:rPr>
          <w:rFonts w:ascii="宋体" w:hAnsi="宋体" w:eastAsia="宋体" w:cs="宋体"/>
          <w:b/>
          <w:bCs/>
          <w:sz w:val="36"/>
          <w:szCs w:val="36"/>
        </w:rPr>
        <w:t>2022年年度报告摘要</w:t>
      </w:r>
    </w:p>
    <w:p>
      <w:pPr>
        <w:keepNext/>
        <w:keepLines/>
        <w:spacing w:beforeAutospacing="0" w:after="300" w:line="320" w:lineRule="exact"/>
        <w:jc w:val="left"/>
        <w:outlineLvl w:val="1"/>
        <w:rPr>
          <w:rFonts w:ascii="宋体" w:hAnsi="宋体" w:eastAsia="宋体" w:cs="宋体"/>
          <w:b/>
          <w:bCs/>
          <w:sz w:val="24"/>
          <w:szCs w:val="24"/>
        </w:rPr>
      </w:pPr>
      <w:bookmarkStart w:id="0" w:name="_Toc988889"/>
      <w:r>
        <w:rPr>
          <w:rFonts w:ascii="宋体" w:hAnsi="宋体" w:eastAsia="宋体" w:cs="宋体"/>
          <w:b/>
          <w:bCs/>
          <w:sz w:val="24"/>
          <w:szCs w:val="24"/>
        </w:rPr>
        <w:t>一、重要提示</w:t>
      </w:r>
      <w:bookmarkEnd w:id="0"/>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本年度报告摘要来自年度报告全文，为全面了解本公司的经营成果、财务状况及未来发展规划，投资者应当到证监会指定媒体仔细阅读年度报告全文。</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所有董事均已出席了审议本报告的董事会会议。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非标准审计意见提示</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董事会审议的报告期利润分配预案或公积金转增股本预案</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是否以公积金转增股本</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公司经本次董事会审议通过的利润分配预案为：以公司2022年权益分派实施时股权登记日总股本为基数，向全体股东每10股派发现金红利5.00元（含税），送红股0股（含税），不以公积金转增股本。</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董事会决议通过的本报告期优先股利润分配预案</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0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 w:name="_Toc988890"/>
      <w:r>
        <w:rPr>
          <w:rFonts w:ascii="宋体" w:hAnsi="宋体" w:eastAsia="宋体" w:cs="宋体"/>
          <w:b/>
          <w:bCs/>
          <w:sz w:val="24"/>
          <w:szCs w:val="24"/>
        </w:rPr>
        <w:t>二、公司基本情况</w:t>
      </w:r>
      <w:bookmarkEnd w:id="1"/>
    </w:p>
    <w:p>
      <w:pPr>
        <w:keepNext/>
        <w:keepLines/>
        <w:spacing w:before="300" w:after="300" w:line="280" w:lineRule="exact"/>
        <w:jc w:val="left"/>
        <w:outlineLvl w:val="2"/>
        <w:rPr>
          <w:rFonts w:ascii="宋体" w:hAnsi="宋体" w:eastAsia="宋体" w:cs="宋体"/>
          <w:b/>
          <w:bCs/>
          <w:sz w:val="21"/>
          <w:szCs w:val="21"/>
        </w:rPr>
      </w:pPr>
      <w:bookmarkStart w:id="2" w:name="_Toc988891"/>
      <w:r>
        <w:rPr>
          <w:rFonts w:ascii="宋体" w:hAnsi="宋体" w:eastAsia="宋体" w:cs="宋体"/>
          <w:b/>
          <w:bCs/>
          <w:sz w:val="21"/>
          <w:szCs w:val="21"/>
        </w:rPr>
        <w:t>1、公司简介</w:t>
      </w:r>
      <w:bookmarkEnd w:id="2"/>
    </w:p>
    <w:tbl>
      <w:tblPr>
        <w:tblStyle w:val="3"/>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116"/>
        <w:gridCol w:w="3587"/>
        <w:gridCol w:w="977"/>
        <w:gridCol w:w="1480"/>
        <w:gridCol w:w="14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1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股票简称</w:t>
            </w:r>
          </w:p>
        </w:tc>
        <w:tc>
          <w:tcPr>
            <w:tcW w:w="456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兔宝宝</w:t>
            </w:r>
          </w:p>
        </w:tc>
        <w:tc>
          <w:tcPr>
            <w:tcW w:w="148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股票代码</w:t>
            </w:r>
          </w:p>
        </w:tc>
        <w:tc>
          <w:tcPr>
            <w:tcW w:w="14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002043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1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股票上市交易所</w:t>
            </w:r>
          </w:p>
        </w:tc>
        <w:tc>
          <w:tcPr>
            <w:tcW w:w="7524" w:type="dxa"/>
            <w:gridSpan w:val="4"/>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1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联系人和联系方式</w:t>
            </w:r>
          </w:p>
        </w:tc>
        <w:tc>
          <w:tcPr>
            <w:tcW w:w="358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董事会秘书</w:t>
            </w:r>
          </w:p>
        </w:tc>
        <w:tc>
          <w:tcPr>
            <w:tcW w:w="3937"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证券事务代表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1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姓名</w:t>
            </w:r>
          </w:p>
        </w:tc>
        <w:tc>
          <w:tcPr>
            <w:tcW w:w="35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丁涛</w:t>
            </w:r>
          </w:p>
        </w:tc>
        <w:tc>
          <w:tcPr>
            <w:tcW w:w="3937"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朱丹莎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1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办公地址</w:t>
            </w:r>
          </w:p>
        </w:tc>
        <w:tc>
          <w:tcPr>
            <w:tcW w:w="35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浙江省德清县阜溪街道临溪街588号</w:t>
            </w:r>
          </w:p>
        </w:tc>
        <w:tc>
          <w:tcPr>
            <w:tcW w:w="3937"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浙江省德清县阜溪街道临溪街588号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1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传真</w:t>
            </w:r>
          </w:p>
        </w:tc>
        <w:tc>
          <w:tcPr>
            <w:tcW w:w="35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0572-8822225</w:t>
            </w:r>
          </w:p>
        </w:tc>
        <w:tc>
          <w:tcPr>
            <w:tcW w:w="3937"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0572-8822225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1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电话</w:t>
            </w:r>
          </w:p>
        </w:tc>
        <w:tc>
          <w:tcPr>
            <w:tcW w:w="35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0572-8405635</w:t>
            </w:r>
          </w:p>
        </w:tc>
        <w:tc>
          <w:tcPr>
            <w:tcW w:w="3937"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0572-8405635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1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电子信箱</w:t>
            </w:r>
          </w:p>
        </w:tc>
        <w:tc>
          <w:tcPr>
            <w:tcW w:w="35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dingtao@dhwooden.com</w:t>
            </w:r>
          </w:p>
        </w:tc>
        <w:tc>
          <w:tcPr>
            <w:tcW w:w="3937"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zds@dhwooden.com</w:t>
            </w:r>
          </w:p>
        </w:tc>
      </w:tr>
    </w:tbl>
    <w:p>
      <w:pPr>
        <w:keepNext/>
        <w:keepLines/>
        <w:spacing w:before="300" w:after="300" w:line="280" w:lineRule="exact"/>
        <w:jc w:val="left"/>
        <w:outlineLvl w:val="2"/>
        <w:rPr>
          <w:rFonts w:ascii="宋体" w:hAnsi="宋体" w:eastAsia="宋体" w:cs="宋体"/>
          <w:b/>
          <w:bCs/>
          <w:sz w:val="21"/>
          <w:szCs w:val="21"/>
        </w:rPr>
      </w:pPr>
      <w:bookmarkStart w:id="3" w:name="_Toc988892"/>
      <w:r>
        <w:rPr>
          <w:rFonts w:ascii="宋体" w:hAnsi="宋体" w:eastAsia="宋体" w:cs="宋体"/>
          <w:b/>
          <w:bCs/>
          <w:sz w:val="21"/>
          <w:szCs w:val="21"/>
        </w:rPr>
        <w:t>2、报告期主要业务或产品简介</w:t>
      </w:r>
      <w:bookmarkEnd w:id="3"/>
    </w:p>
    <w:p>
      <w:pPr>
        <w:pStyle w:val="2"/>
        <w:keepNext w:val="0"/>
        <w:keepLines w:val="0"/>
        <w:widowControl/>
        <w:suppressLineNumbers w:val="0"/>
        <w:spacing w:before="40" w:beforeAutospacing="0" w:after="40" w:afterAutospacing="0" w:line="288"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公司创立于1992年，历经30年的发展，已成为国内高端环保家具板材产销规模最大的企业之一，公司以推进行业环保进程为己任，始终坚持研发和生产高品质、绿色环保的装饰材料，致力于成为国内领先的装饰材料综合服务运营商。秉承“兔宝宝，让家更好”的企业使命，以环保家具板材为依托，拓展全屋木作定制家居业务体系，全力为消费者打造绿色、健康、环保的家居环境。</w:t>
      </w:r>
    </w:p>
    <w:p>
      <w:pPr>
        <w:pStyle w:val="2"/>
        <w:keepNext w:val="0"/>
        <w:keepLines w:val="0"/>
        <w:widowControl/>
        <w:suppressLineNumbers w:val="0"/>
        <w:spacing w:before="40" w:beforeAutospacing="0" w:after="40" w:afterAutospacing="0" w:line="288" w:lineRule="auto"/>
        <w:ind w:left="0" w:right="0" w:firstLine="420"/>
        <w:jc w:val="both"/>
        <w:rPr>
          <w:rFonts w:hint="eastAsia" w:ascii="宋体" w:hAnsi="宋体" w:eastAsia="宋体" w:cs="宋体"/>
          <w:sz w:val="21"/>
          <w:szCs w:val="21"/>
        </w:rPr>
      </w:pPr>
      <w:r>
        <w:rPr>
          <w:rFonts w:hint="eastAsia" w:ascii="宋体" w:hAnsi="宋体" w:eastAsia="宋体" w:cs="宋体"/>
          <w:sz w:val="21"/>
          <w:szCs w:val="21"/>
        </w:rPr>
        <w:t>公司目前有装饰材料和定制家居两大业务。其中装饰材料业务通过经销商模式实现销售，销售渠道主要有门店零售、家装公司、家具厂以及工装渠道，产品包括家具板材、基础板材、石膏板等主材产品和科技木皮、装饰纸、封边条、五金和胶黏剂等配套辅材产品；定制家居业务通过经销商模式和大宗模式实现销售，产品包括有定制衣柜、橱柜、地板、木门、墙板等。</w:t>
      </w:r>
    </w:p>
    <w:p>
      <w:pPr>
        <w:pStyle w:val="2"/>
        <w:keepNext w:val="0"/>
        <w:keepLines w:val="0"/>
        <w:widowControl/>
        <w:suppressLineNumbers w:val="0"/>
        <w:spacing w:before="40" w:beforeAutospacing="0" w:after="40" w:afterAutospacing="0" w:line="288" w:lineRule="auto"/>
        <w:ind w:left="0" w:right="0" w:firstLine="420"/>
        <w:jc w:val="both"/>
        <w:rPr>
          <w:rFonts w:hint="default" w:ascii="宋体" w:hAnsi="宋体" w:eastAsia="宋体" w:cs="宋体"/>
          <w:sz w:val="21"/>
          <w:szCs w:val="21"/>
        </w:rPr>
      </w:pPr>
      <w:r>
        <w:rPr>
          <w:rFonts w:hint="default" w:ascii="宋体" w:hAnsi="宋体" w:eastAsia="宋体" w:cs="宋体"/>
          <w:sz w:val="21"/>
          <w:szCs w:val="21"/>
        </w:rPr>
        <w:t>报告期内公司主要经营业务和主要业绩驱动因素未发生重大变化。</w:t>
      </w:r>
    </w:p>
    <w:p>
      <w:pPr>
        <w:keepNext/>
        <w:keepLines/>
        <w:spacing w:before="300" w:after="300" w:line="280" w:lineRule="exact"/>
        <w:jc w:val="left"/>
        <w:outlineLvl w:val="2"/>
        <w:rPr>
          <w:rFonts w:ascii="宋体" w:hAnsi="宋体" w:eastAsia="宋体" w:cs="宋体"/>
          <w:b/>
          <w:bCs/>
          <w:sz w:val="21"/>
          <w:szCs w:val="21"/>
        </w:rPr>
      </w:pPr>
      <w:bookmarkStart w:id="4" w:name="_Toc988893"/>
      <w:r>
        <w:rPr>
          <w:rFonts w:ascii="宋体" w:hAnsi="宋体" w:eastAsia="宋体" w:cs="宋体"/>
          <w:b/>
          <w:bCs/>
          <w:sz w:val="21"/>
          <w:szCs w:val="21"/>
        </w:rPr>
        <w:t>3、主要会计数据和财务指标</w:t>
      </w:r>
      <w:bookmarkEnd w:id="4"/>
    </w:p>
    <w:p>
      <w:pPr>
        <w:keepNext/>
        <w:keepLines/>
        <w:spacing w:before="300" w:after="300" w:line="280" w:lineRule="exact"/>
        <w:jc w:val="left"/>
        <w:outlineLvl w:val="3"/>
        <w:rPr>
          <w:rFonts w:ascii="宋体" w:hAnsi="宋体" w:eastAsia="宋体" w:cs="宋体"/>
          <w:b/>
          <w:bCs/>
          <w:sz w:val="18"/>
          <w:szCs w:val="18"/>
        </w:rPr>
      </w:pPr>
      <w:bookmarkStart w:id="5" w:name="_Toc988894"/>
      <w:r>
        <w:rPr>
          <w:rFonts w:ascii="宋体" w:hAnsi="宋体" w:eastAsia="宋体" w:cs="宋体"/>
          <w:b/>
          <w:bCs/>
          <w:sz w:val="18"/>
          <w:szCs w:val="18"/>
        </w:rPr>
        <w:t>（1） 近三年主要会计数据和财务指标</w:t>
      </w:r>
      <w:bookmarkEnd w:id="5"/>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公司是否需追溯调整或重述以前年度会计数据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3"/>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233"/>
        <w:gridCol w:w="1827"/>
        <w:gridCol w:w="2060"/>
        <w:gridCol w:w="1592"/>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23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82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2022年末</w:t>
            </w:r>
          </w:p>
        </w:tc>
        <w:tc>
          <w:tcPr>
            <w:tcW w:w="206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2021年末</w:t>
            </w:r>
          </w:p>
        </w:tc>
        <w:tc>
          <w:tcPr>
            <w:tcW w:w="159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本年末比上年末增减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2020年末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23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总资产</w:t>
            </w:r>
          </w:p>
        </w:tc>
        <w:tc>
          <w:tcPr>
            <w:tcW w:w="182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5,256,444,224.17</w:t>
            </w:r>
          </w:p>
        </w:tc>
        <w:tc>
          <w:tcPr>
            <w:tcW w:w="20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5,612,176,602.24</w:t>
            </w:r>
          </w:p>
        </w:tc>
        <w:tc>
          <w:tcPr>
            <w:tcW w:w="15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5,279,564,958.61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23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归属于上市公司股东的净资产</w:t>
            </w:r>
          </w:p>
        </w:tc>
        <w:tc>
          <w:tcPr>
            <w:tcW w:w="182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2,347,272,017.51</w:t>
            </w:r>
          </w:p>
        </w:tc>
        <w:tc>
          <w:tcPr>
            <w:tcW w:w="20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2,130,138,683.21</w:t>
            </w:r>
          </w:p>
        </w:tc>
        <w:tc>
          <w:tcPr>
            <w:tcW w:w="15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1,860,605,612.44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23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82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w:t>
            </w:r>
          </w:p>
        </w:tc>
        <w:tc>
          <w:tcPr>
            <w:tcW w:w="206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2021年</w:t>
            </w:r>
          </w:p>
        </w:tc>
        <w:tc>
          <w:tcPr>
            <w:tcW w:w="159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本年比上年增减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2020年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23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w:t>
            </w:r>
          </w:p>
        </w:tc>
        <w:tc>
          <w:tcPr>
            <w:tcW w:w="182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8,917,387,348.25</w:t>
            </w:r>
          </w:p>
        </w:tc>
        <w:tc>
          <w:tcPr>
            <w:tcW w:w="20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9,425,925,257.57</w:t>
            </w:r>
          </w:p>
        </w:tc>
        <w:tc>
          <w:tcPr>
            <w:tcW w:w="15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6,465,756,931.23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23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归属于上市公司股东的净利润</w:t>
            </w:r>
          </w:p>
        </w:tc>
        <w:tc>
          <w:tcPr>
            <w:tcW w:w="182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445,385,024.33</w:t>
            </w:r>
          </w:p>
        </w:tc>
        <w:tc>
          <w:tcPr>
            <w:tcW w:w="20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711,611,887.02</w:t>
            </w:r>
          </w:p>
        </w:tc>
        <w:tc>
          <w:tcPr>
            <w:tcW w:w="15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402,714,881.10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23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w:t>
            </w:r>
          </w:p>
        </w:tc>
        <w:tc>
          <w:tcPr>
            <w:tcW w:w="182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346,262,522.46</w:t>
            </w:r>
          </w:p>
        </w:tc>
        <w:tc>
          <w:tcPr>
            <w:tcW w:w="20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581,504,497.28</w:t>
            </w:r>
          </w:p>
        </w:tc>
        <w:tc>
          <w:tcPr>
            <w:tcW w:w="15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-40.45%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416,385,770.74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23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182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933,542,316.79</w:t>
            </w:r>
          </w:p>
        </w:tc>
        <w:tc>
          <w:tcPr>
            <w:tcW w:w="20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860,285,523.06</w:t>
            </w:r>
          </w:p>
        </w:tc>
        <w:tc>
          <w:tcPr>
            <w:tcW w:w="15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812,654,248.63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23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基本每股收益（元/股）</w:t>
            </w:r>
          </w:p>
        </w:tc>
        <w:tc>
          <w:tcPr>
            <w:tcW w:w="182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0.58</w:t>
            </w:r>
          </w:p>
        </w:tc>
        <w:tc>
          <w:tcPr>
            <w:tcW w:w="20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0.98</w:t>
            </w:r>
          </w:p>
        </w:tc>
        <w:tc>
          <w:tcPr>
            <w:tcW w:w="15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23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稀释每股收益（元/股）</w:t>
            </w:r>
          </w:p>
        </w:tc>
        <w:tc>
          <w:tcPr>
            <w:tcW w:w="182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0.58</w:t>
            </w:r>
          </w:p>
        </w:tc>
        <w:tc>
          <w:tcPr>
            <w:tcW w:w="20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0.97</w:t>
            </w:r>
          </w:p>
        </w:tc>
        <w:tc>
          <w:tcPr>
            <w:tcW w:w="15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-40.21%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23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加权平均净资产收益率</w:t>
            </w:r>
          </w:p>
        </w:tc>
        <w:tc>
          <w:tcPr>
            <w:tcW w:w="182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19.93%</w:t>
            </w:r>
          </w:p>
        </w:tc>
        <w:tc>
          <w:tcPr>
            <w:tcW w:w="206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37.49%</w:t>
            </w:r>
          </w:p>
        </w:tc>
        <w:tc>
          <w:tcPr>
            <w:tcW w:w="15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22.59%</w:t>
            </w:r>
          </w:p>
        </w:tc>
      </w:tr>
    </w:tbl>
    <w:p>
      <w:pPr>
        <w:keepNext/>
        <w:keepLines/>
        <w:spacing w:before="300" w:after="300" w:line="280" w:lineRule="exact"/>
        <w:jc w:val="left"/>
        <w:outlineLvl w:val="3"/>
        <w:rPr>
          <w:rFonts w:ascii="宋体" w:hAnsi="宋体" w:eastAsia="宋体" w:cs="宋体"/>
          <w:b/>
          <w:bCs/>
          <w:sz w:val="18"/>
          <w:szCs w:val="18"/>
        </w:rPr>
      </w:pPr>
      <w:bookmarkStart w:id="6" w:name="_Toc988895"/>
      <w:r>
        <w:rPr>
          <w:rFonts w:ascii="宋体" w:hAnsi="宋体" w:eastAsia="宋体" w:cs="宋体"/>
          <w:b/>
          <w:bCs/>
          <w:sz w:val="18"/>
          <w:szCs w:val="18"/>
        </w:rPr>
        <w:t>（2） 分季度主要会计数据</w:t>
      </w:r>
      <w:bookmarkEnd w:id="6"/>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3"/>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664"/>
        <w:gridCol w:w="1774"/>
        <w:gridCol w:w="1787"/>
        <w:gridCol w:w="1708"/>
        <w:gridCol w:w="17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664"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77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第一季度</w:t>
            </w:r>
          </w:p>
        </w:tc>
        <w:tc>
          <w:tcPr>
            <w:tcW w:w="178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第二季度</w:t>
            </w:r>
          </w:p>
        </w:tc>
        <w:tc>
          <w:tcPr>
            <w:tcW w:w="170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第三季度</w:t>
            </w:r>
          </w:p>
        </w:tc>
        <w:tc>
          <w:tcPr>
            <w:tcW w:w="170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第四季度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6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w:t>
            </w:r>
          </w:p>
        </w:tc>
        <w:tc>
          <w:tcPr>
            <w:tcW w:w="17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1,626,559,690.87</w:t>
            </w:r>
          </w:p>
        </w:tc>
        <w:tc>
          <w:tcPr>
            <w:tcW w:w="17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2,105,812,758.30</w:t>
            </w:r>
          </w:p>
        </w:tc>
        <w:tc>
          <w:tcPr>
            <w:tcW w:w="17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2,141,087,318.81</w:t>
            </w:r>
          </w:p>
        </w:tc>
        <w:tc>
          <w:tcPr>
            <w:tcW w:w="170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3,043,927,580.27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6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归属于上市公司股东的净利润</w:t>
            </w:r>
          </w:p>
        </w:tc>
        <w:tc>
          <w:tcPr>
            <w:tcW w:w="17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94,903,072.28</w:t>
            </w:r>
          </w:p>
        </w:tc>
        <w:tc>
          <w:tcPr>
            <w:tcW w:w="17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171,721,208.12</w:t>
            </w:r>
          </w:p>
        </w:tc>
        <w:tc>
          <w:tcPr>
            <w:tcW w:w="17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122,665,869.30</w:t>
            </w:r>
          </w:p>
        </w:tc>
        <w:tc>
          <w:tcPr>
            <w:tcW w:w="170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56,094,874.63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6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w:t>
            </w:r>
          </w:p>
        </w:tc>
        <w:tc>
          <w:tcPr>
            <w:tcW w:w="17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77,358,561.77</w:t>
            </w:r>
          </w:p>
        </w:tc>
        <w:tc>
          <w:tcPr>
            <w:tcW w:w="17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136,970,860.50</w:t>
            </w:r>
          </w:p>
        </w:tc>
        <w:tc>
          <w:tcPr>
            <w:tcW w:w="17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115,980,714.43</w:t>
            </w:r>
          </w:p>
        </w:tc>
        <w:tc>
          <w:tcPr>
            <w:tcW w:w="170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15,952,385.76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6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17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-391,364,907.58</w:t>
            </w:r>
          </w:p>
        </w:tc>
        <w:tc>
          <w:tcPr>
            <w:tcW w:w="17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378,902,454.71</w:t>
            </w:r>
          </w:p>
        </w:tc>
        <w:tc>
          <w:tcPr>
            <w:tcW w:w="170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410,269,488.49</w:t>
            </w:r>
          </w:p>
        </w:tc>
        <w:tc>
          <w:tcPr>
            <w:tcW w:w="170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535,735,281.17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上述财务指标或其加总数是否与公司已披露季度报告、半年度报告相关财务指标存在重大差异</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280" w:lineRule="exact"/>
        <w:jc w:val="left"/>
        <w:outlineLvl w:val="2"/>
        <w:rPr>
          <w:rFonts w:ascii="宋体" w:hAnsi="宋体" w:eastAsia="宋体" w:cs="宋体"/>
          <w:b/>
          <w:bCs/>
          <w:sz w:val="21"/>
          <w:szCs w:val="21"/>
        </w:rPr>
      </w:pPr>
      <w:bookmarkStart w:id="7" w:name="_Toc988896"/>
      <w:r>
        <w:rPr>
          <w:rFonts w:ascii="宋体" w:hAnsi="宋体" w:eastAsia="宋体" w:cs="宋体"/>
          <w:b/>
          <w:bCs/>
          <w:sz w:val="21"/>
          <w:szCs w:val="21"/>
        </w:rPr>
        <w:t>4、股本及股东情况</w:t>
      </w:r>
      <w:bookmarkEnd w:id="7"/>
    </w:p>
    <w:p>
      <w:pPr>
        <w:keepNext/>
        <w:keepLines/>
        <w:spacing w:before="300" w:after="300" w:line="280" w:lineRule="exact"/>
        <w:jc w:val="left"/>
        <w:outlineLvl w:val="3"/>
        <w:rPr>
          <w:rFonts w:ascii="宋体" w:hAnsi="宋体" w:eastAsia="宋体" w:cs="宋体"/>
          <w:b/>
          <w:bCs/>
          <w:sz w:val="18"/>
          <w:szCs w:val="18"/>
        </w:rPr>
      </w:pPr>
      <w:bookmarkStart w:id="8" w:name="_Toc988897"/>
      <w:r>
        <w:rPr>
          <w:rFonts w:ascii="宋体" w:hAnsi="宋体" w:eastAsia="宋体" w:cs="宋体"/>
          <w:b/>
          <w:bCs/>
          <w:sz w:val="18"/>
          <w:szCs w:val="18"/>
        </w:rPr>
        <w:t>（1） 普通股股东和表决权恢复的优先股股东数量及前10名股东持股情况表</w:t>
      </w:r>
      <w:bookmarkEnd w:id="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772"/>
        <w:gridCol w:w="566"/>
        <w:gridCol w:w="1045"/>
        <w:gridCol w:w="478"/>
        <w:gridCol w:w="352"/>
        <w:gridCol w:w="692"/>
        <w:gridCol w:w="656"/>
        <w:gridCol w:w="794"/>
        <w:gridCol w:w="161"/>
        <w:gridCol w:w="1234"/>
        <w:gridCol w:w="711"/>
        <w:gridCol w:w="255"/>
        <w:gridCol w:w="8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报告期末普通股股东总数</w:t>
            </w:r>
          </w:p>
        </w:tc>
        <w:tc>
          <w:tcPr>
            <w:tcW w:w="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44,306</w:t>
            </w:r>
          </w:p>
        </w:tc>
        <w:tc>
          <w:tcPr>
            <w:tcW w:w="1611"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年度报告披露日前一个月末普通股股东总数</w:t>
            </w:r>
          </w:p>
        </w:tc>
        <w:tc>
          <w:tcPr>
            <w:tcW w:w="83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76,527</w:t>
            </w:r>
          </w:p>
        </w:tc>
        <w:tc>
          <w:tcPr>
            <w:tcW w:w="134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报告期末表决权恢复的优先股股东总数</w:t>
            </w:r>
          </w:p>
        </w:tc>
        <w:tc>
          <w:tcPr>
            <w:tcW w:w="79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2361"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年度报告披露日前一个月末表决权恢复的优先股股东总数</w:t>
            </w:r>
          </w:p>
        </w:tc>
        <w:tc>
          <w:tcPr>
            <w:tcW w:w="8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前10名股东持股情况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09" w:type="dxa"/>
            <w:gridSpan w:val="3"/>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523"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股东性质</w:t>
            </w:r>
          </w:p>
        </w:tc>
        <w:tc>
          <w:tcPr>
            <w:tcW w:w="1044"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611" w:type="dxa"/>
            <w:gridSpan w:val="3"/>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持股数量</w:t>
            </w:r>
          </w:p>
        </w:tc>
        <w:tc>
          <w:tcPr>
            <w:tcW w:w="123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持有有限售条件的股份数量</w:t>
            </w:r>
          </w:p>
        </w:tc>
        <w:tc>
          <w:tcPr>
            <w:tcW w:w="1818"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质押、标记或冻结情况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09" w:type="dxa"/>
            <w:gridSpan w:val="3"/>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523"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44"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11" w:type="dxa"/>
            <w:gridSpan w:val="3"/>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3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1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股份状态</w:t>
            </w:r>
          </w:p>
        </w:tc>
        <w:tc>
          <w:tcPr>
            <w:tcW w:w="1107"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0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德华集团控股股份有限公司</w:t>
            </w:r>
          </w:p>
        </w:tc>
        <w:tc>
          <w:tcPr>
            <w:tcW w:w="152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04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29.68%</w:t>
            </w:r>
          </w:p>
        </w:tc>
        <w:tc>
          <w:tcPr>
            <w:tcW w:w="161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229,344,885</w:t>
            </w:r>
          </w:p>
        </w:tc>
        <w:tc>
          <w:tcPr>
            <w:tcW w:w="12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1107"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5" w:hRule="atLeast"/>
        </w:trPr>
        <w:tc>
          <w:tcPr>
            <w:tcW w:w="240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德华创业投资有限公司</w:t>
            </w:r>
          </w:p>
        </w:tc>
        <w:tc>
          <w:tcPr>
            <w:tcW w:w="152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04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6.57%</w:t>
            </w:r>
          </w:p>
        </w:tc>
        <w:tc>
          <w:tcPr>
            <w:tcW w:w="161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50,813,008</w:t>
            </w:r>
          </w:p>
        </w:tc>
        <w:tc>
          <w:tcPr>
            <w:tcW w:w="12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107"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4" w:hRule="atLeast"/>
        </w:trPr>
        <w:tc>
          <w:tcPr>
            <w:tcW w:w="240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漆勇</w:t>
            </w:r>
          </w:p>
        </w:tc>
        <w:tc>
          <w:tcPr>
            <w:tcW w:w="152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04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4.38%</w:t>
            </w:r>
          </w:p>
        </w:tc>
        <w:tc>
          <w:tcPr>
            <w:tcW w:w="161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33,860,000</w:t>
            </w:r>
          </w:p>
        </w:tc>
        <w:tc>
          <w:tcPr>
            <w:tcW w:w="12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25,520,000</w:t>
            </w:r>
          </w:p>
        </w:tc>
        <w:tc>
          <w:tcPr>
            <w:tcW w:w="7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107"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7" w:hRule="atLeast"/>
        </w:trPr>
        <w:tc>
          <w:tcPr>
            <w:tcW w:w="240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丁鸿敏</w:t>
            </w:r>
          </w:p>
        </w:tc>
        <w:tc>
          <w:tcPr>
            <w:tcW w:w="152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04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2.63%</w:t>
            </w:r>
          </w:p>
        </w:tc>
        <w:tc>
          <w:tcPr>
            <w:tcW w:w="161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20,325,204</w:t>
            </w:r>
          </w:p>
        </w:tc>
        <w:tc>
          <w:tcPr>
            <w:tcW w:w="12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15,243,903</w:t>
            </w:r>
          </w:p>
        </w:tc>
        <w:tc>
          <w:tcPr>
            <w:tcW w:w="7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107"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0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德华兔宝宝装饰新材股份有限公司－第二期员工持股计划</w:t>
            </w:r>
          </w:p>
        </w:tc>
        <w:tc>
          <w:tcPr>
            <w:tcW w:w="152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04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w:t>
            </w:r>
          </w:p>
        </w:tc>
        <w:tc>
          <w:tcPr>
            <w:tcW w:w="161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11,170,000</w:t>
            </w:r>
          </w:p>
        </w:tc>
        <w:tc>
          <w:tcPr>
            <w:tcW w:w="12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107"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6" w:hRule="atLeast"/>
        </w:trPr>
        <w:tc>
          <w:tcPr>
            <w:tcW w:w="240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中国工商银行股份有限公司－海富通改革驱动灵活配置混合型证券投资基金</w:t>
            </w:r>
          </w:p>
        </w:tc>
        <w:tc>
          <w:tcPr>
            <w:tcW w:w="152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04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w:t>
            </w:r>
          </w:p>
        </w:tc>
        <w:tc>
          <w:tcPr>
            <w:tcW w:w="161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10,731,692</w:t>
            </w:r>
          </w:p>
        </w:tc>
        <w:tc>
          <w:tcPr>
            <w:tcW w:w="12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107"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0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中国工商银行股份有限公司－中欧时代先锋股票型发起式证券投资基金</w:t>
            </w:r>
          </w:p>
        </w:tc>
        <w:tc>
          <w:tcPr>
            <w:tcW w:w="152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04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w:t>
            </w:r>
          </w:p>
        </w:tc>
        <w:tc>
          <w:tcPr>
            <w:tcW w:w="161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10,038,270</w:t>
            </w:r>
          </w:p>
        </w:tc>
        <w:tc>
          <w:tcPr>
            <w:tcW w:w="12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107"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0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中国建设银行股份有限公司－中欧价值发现股票型证券投资基金</w:t>
            </w:r>
          </w:p>
        </w:tc>
        <w:tc>
          <w:tcPr>
            <w:tcW w:w="152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04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w:t>
            </w:r>
          </w:p>
        </w:tc>
        <w:tc>
          <w:tcPr>
            <w:tcW w:w="161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8,859,230</w:t>
            </w:r>
          </w:p>
        </w:tc>
        <w:tc>
          <w:tcPr>
            <w:tcW w:w="12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107"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0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中国建设银行股份有限公司－中欧新蓝筹灵活配置混合型证券投资基金</w:t>
            </w:r>
          </w:p>
        </w:tc>
        <w:tc>
          <w:tcPr>
            <w:tcW w:w="152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04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w:t>
            </w:r>
          </w:p>
        </w:tc>
        <w:tc>
          <w:tcPr>
            <w:tcW w:w="161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8,278,207</w:t>
            </w:r>
          </w:p>
        </w:tc>
        <w:tc>
          <w:tcPr>
            <w:tcW w:w="12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107"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0" w:hRule="atLeast"/>
        </w:trPr>
        <w:tc>
          <w:tcPr>
            <w:tcW w:w="240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陆利华</w:t>
            </w:r>
          </w:p>
        </w:tc>
        <w:tc>
          <w:tcPr>
            <w:tcW w:w="152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04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0.98%</w:t>
            </w:r>
          </w:p>
        </w:tc>
        <w:tc>
          <w:tcPr>
            <w:tcW w:w="161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7,561,356</w:t>
            </w:r>
          </w:p>
        </w:tc>
        <w:tc>
          <w:tcPr>
            <w:tcW w:w="12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5,671,017</w:t>
            </w:r>
          </w:p>
        </w:tc>
        <w:tc>
          <w:tcPr>
            <w:tcW w:w="71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107"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3" w:hRule="atLeast"/>
        </w:trPr>
        <w:tc>
          <w:tcPr>
            <w:tcW w:w="240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上述股东关联关系或一致行动的说明</w:t>
            </w:r>
          </w:p>
        </w:tc>
        <w:tc>
          <w:tcPr>
            <w:tcW w:w="7230" w:type="dxa"/>
            <w:gridSpan w:val="11"/>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前10名股东中，德华集团控股股份有限公司为本公司的控股股东，与公司实际控制人丁鸿敏及德华集团的控股子公司德华创业投资有限公司为一致行动人；与其他股东不存在关联关系，也不属于《上市公司收购管理办法》中规定的一致行动人。除此之外，本公司未知其他股东之间是否存在关联关系，也未知其他股东之间是否属于《上市公司收购管理办法》中规定的一致行动人。</w:t>
            </w:r>
          </w:p>
        </w:tc>
      </w:tr>
    </w:tbl>
    <w:p>
      <w:pPr>
        <w:keepNext/>
        <w:keepLines/>
        <w:spacing w:before="300" w:after="300" w:line="280" w:lineRule="exact"/>
        <w:jc w:val="left"/>
        <w:outlineLvl w:val="3"/>
        <w:rPr>
          <w:rFonts w:ascii="宋体" w:hAnsi="宋体" w:eastAsia="宋体" w:cs="宋体"/>
          <w:b/>
          <w:bCs/>
          <w:sz w:val="18"/>
          <w:szCs w:val="18"/>
        </w:rPr>
      </w:pPr>
      <w:bookmarkStart w:id="9" w:name="_Toc988898"/>
      <w:r>
        <w:rPr>
          <w:rFonts w:ascii="宋体" w:hAnsi="宋体" w:eastAsia="宋体" w:cs="宋体"/>
          <w:b/>
          <w:bCs/>
          <w:sz w:val="18"/>
          <w:szCs w:val="18"/>
        </w:rPr>
        <w:t>（2） 公司优先股股东总数及前10名优先股股东持股情况表</w:t>
      </w:r>
      <w:bookmarkEnd w:id="9"/>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公司报告期无优先股股东持股情况。</w:t>
      </w:r>
    </w:p>
    <w:p>
      <w:pPr>
        <w:keepNext/>
        <w:keepLines/>
        <w:spacing w:before="300" w:after="300" w:line="280" w:lineRule="exact"/>
        <w:jc w:val="left"/>
        <w:outlineLvl w:val="3"/>
        <w:rPr>
          <w:rFonts w:ascii="宋体" w:hAnsi="宋体" w:eastAsia="宋体" w:cs="宋体"/>
          <w:b/>
          <w:bCs/>
          <w:sz w:val="18"/>
          <w:szCs w:val="18"/>
        </w:rPr>
      </w:pPr>
      <w:bookmarkStart w:id="10" w:name="_Toc988899"/>
      <w:r>
        <w:rPr>
          <w:rFonts w:ascii="宋体" w:hAnsi="宋体" w:eastAsia="宋体" w:cs="宋体"/>
          <w:b/>
          <w:bCs/>
          <w:sz w:val="18"/>
          <w:szCs w:val="18"/>
        </w:rPr>
        <w:t>（3） 以方框图形式披露公司与实际控制人之间的产权及控制关系</w:t>
      </w:r>
      <w:bookmarkEnd w:id="10"/>
    </w:p>
    <w:p>
      <w:pPr>
        <w:spacing w:before="40" w:after="40" w:line="0" w:lineRule="exact"/>
        <w:rPr>
          <w:rFonts w:ascii="Times New Roman" w:hAnsi="Times New Roman" w:eastAsia="宋体" w:cs="Times New Roman"/>
        </w:rPr>
      </w:pPr>
      <w:r>
        <w:rPr>
          <w:rFonts w:ascii="Times New Roman" w:hAnsi="Times New Roman" w:eastAsia="宋体" w:cs="Times New Roman"/>
        </w:rPr>
        <w:drawing>
          <wp:inline distT="0" distB="0" distL="0" distR="0">
            <wp:extent cx="4200525" cy="2233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stretch>
                      <a:fillRect/>
                    </a:stretch>
                  </pic:blipFill>
                  <pic:spPr>
                    <a:xfrm>
                      <a:off x="0" y="0"/>
                      <a:ext cx="4200525" cy="2233612"/>
                    </a:xfrm>
                    <a:prstGeom prst="rect">
                      <a:avLst/>
                    </a:prstGeom>
                  </pic:spPr>
                </pic:pic>
              </a:graphicData>
            </a:graphic>
          </wp:inline>
        </w:drawing>
      </w:r>
    </w:p>
    <w:p>
      <w:pPr>
        <w:keepNext/>
        <w:keepLines/>
        <w:spacing w:before="300" w:after="300" w:line="280" w:lineRule="exact"/>
        <w:jc w:val="left"/>
        <w:outlineLvl w:val="2"/>
        <w:rPr>
          <w:rFonts w:ascii="宋体" w:hAnsi="宋体" w:eastAsia="宋体" w:cs="宋体"/>
          <w:b/>
          <w:bCs/>
          <w:sz w:val="21"/>
          <w:szCs w:val="21"/>
        </w:rPr>
      </w:pPr>
      <w:bookmarkStart w:id="11" w:name="_Toc988900"/>
      <w:r>
        <w:rPr>
          <w:rFonts w:ascii="宋体" w:hAnsi="宋体" w:eastAsia="宋体" w:cs="宋体"/>
          <w:b/>
          <w:bCs/>
          <w:sz w:val="21"/>
          <w:szCs w:val="21"/>
        </w:rPr>
        <w:t>5、在年度报告批准报出日存续的债券情况</w:t>
      </w:r>
      <w:bookmarkEnd w:id="11"/>
    </w:p>
    <w:p>
      <w:pPr>
        <w:spacing w:before="100" w:after="100" w:line="240" w:lineRule="exact"/>
        <w:jc w:val="left"/>
        <w:rPr>
          <w:rFonts w:ascii="宋体" w:hAnsi="宋体" w:eastAsia="宋体" w:cs="宋体"/>
          <w:sz w:val="21"/>
          <w:szCs w:val="21"/>
        </w:rPr>
      </w:pPr>
      <w:r>
        <w:rPr>
          <w:rFonts w:ascii="宋体" w:hAnsi="宋体" w:eastAsia="宋体" w:cs="宋体"/>
          <w:sz w:val="21"/>
          <w:szCs w:val="21"/>
        </w:rPr>
        <w:t xml:space="preserve">□适用 </w:t>
      </w:r>
      <w:r>
        <w:rPr>
          <w:rFonts w:ascii="宋体" w:hAnsi="宋体" w:eastAsia="宋体" w:cs="宋体"/>
          <w:sz w:val="21"/>
          <w:szCs w:val="21"/>
        </w:rPr>
        <w:sym w:font="Wingdings 2" w:char="F052"/>
      </w:r>
      <w:r>
        <w:rPr>
          <w:rFonts w:ascii="宋体" w:hAnsi="宋体" w:eastAsia="宋体" w:cs="宋体"/>
          <w:sz w:val="21"/>
          <w:szCs w:val="21"/>
        </w:rPr>
        <w:t>不适用</w:t>
      </w:r>
    </w:p>
    <w:p>
      <w:pPr>
        <w:keepNext/>
        <w:keepLines/>
        <w:spacing w:before="300" w:after="300" w:line="320" w:lineRule="exact"/>
        <w:jc w:val="left"/>
        <w:outlineLvl w:val="1"/>
        <w:rPr>
          <w:rFonts w:ascii="宋体" w:hAnsi="宋体" w:eastAsia="宋体" w:cs="宋体"/>
          <w:b/>
          <w:bCs/>
          <w:sz w:val="21"/>
          <w:szCs w:val="21"/>
        </w:rPr>
      </w:pPr>
      <w:bookmarkStart w:id="12" w:name="_Toc988901"/>
      <w:r>
        <w:rPr>
          <w:rFonts w:ascii="宋体" w:hAnsi="宋体" w:eastAsia="宋体" w:cs="宋体"/>
          <w:b/>
          <w:bCs/>
          <w:sz w:val="21"/>
          <w:szCs w:val="21"/>
        </w:rPr>
        <w:t>三、重要事项</w:t>
      </w:r>
      <w:bookmarkEnd w:id="12"/>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不适用</w:t>
      </w:r>
    </w:p>
    <w:p>
      <w:pPr>
        <w:pStyle w:val="2"/>
        <w:keepNext w:val="0"/>
        <w:keepLines w:val="0"/>
        <w:widowControl/>
        <w:suppressLineNumbers w:val="0"/>
        <w:rPr>
          <w:rFonts w:hint="eastAsia" w:ascii="宋体" w:hAnsi="宋体" w:eastAsia="宋体" w:cs="宋体"/>
          <w:sz w:val="21"/>
          <w:szCs w:val="21"/>
        </w:rPr>
      </w:pPr>
    </w:p>
    <w:p>
      <w:pPr>
        <w:autoSpaceDE w:val="0"/>
        <w:autoSpaceDN w:val="0"/>
        <w:adjustRightInd w:val="0"/>
        <w:spacing w:beforeLines="0" w:afterLines="0" w:line="420" w:lineRule="exact"/>
        <w:ind w:firstLine="420" w:firstLineChars="200"/>
        <w:jc w:val="right"/>
        <w:rPr>
          <w:rFonts w:hint="eastAsia" w:ascii="宋体" w:hAnsi="宋体" w:eastAsia="宋体" w:cs="宋体"/>
          <w:kern w:val="0"/>
          <w:sz w:val="21"/>
          <w:szCs w:val="21"/>
          <w:lang w:val="zh-CN" w:eastAsia="zh-CN" w:bidi="ar"/>
        </w:rPr>
      </w:pPr>
      <w:r>
        <w:rPr>
          <w:rFonts w:hint="eastAsia" w:ascii="宋体" w:hAnsi="宋体" w:eastAsia="宋体" w:cs="宋体"/>
          <w:kern w:val="0"/>
          <w:sz w:val="21"/>
          <w:szCs w:val="21"/>
          <w:lang w:val="zh-CN" w:eastAsia="zh-CN" w:bidi="ar"/>
        </w:rPr>
        <w:t>德华兔宝宝装饰新材股份有限公司</w:t>
      </w:r>
    </w:p>
    <w:p>
      <w:pPr>
        <w:pStyle w:val="2"/>
        <w:keepNext w:val="0"/>
        <w:keepLines w:val="0"/>
        <w:widowControl/>
        <w:suppressLineNumbers w:val="0"/>
        <w:wordWrap/>
        <w:jc w:val="center"/>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 xml:space="preserve">                                                                        </w:t>
      </w:r>
      <w:r>
        <w:rPr>
          <w:rFonts w:hint="eastAsia" w:ascii="宋体" w:hAnsi="宋体" w:eastAsia="宋体" w:cs="宋体"/>
          <w:kern w:val="0"/>
          <w:sz w:val="21"/>
          <w:szCs w:val="21"/>
          <w:lang w:val="en-US" w:eastAsia="zh-CN" w:bidi="ar"/>
        </w:rPr>
        <w:t>董事长：</w:t>
      </w:r>
      <w:r>
        <w:rPr>
          <w:rFonts w:hint="eastAsia" w:ascii="宋体" w:hAnsi="宋体" w:cs="宋体"/>
          <w:kern w:val="0"/>
          <w:sz w:val="21"/>
          <w:szCs w:val="21"/>
          <w:lang w:val="en-US" w:eastAsia="zh-CN" w:bidi="ar"/>
        </w:rPr>
        <w:t>丁鸿敏</w:t>
      </w:r>
    </w:p>
    <w:p>
      <w:pPr>
        <w:pStyle w:val="2"/>
        <w:keepNext w:val="0"/>
        <w:keepLines w:val="0"/>
        <w:widowControl/>
        <w:suppressLineNumbers w:val="0"/>
        <w:wordWrap/>
        <w:jc w:val="center"/>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 xml:space="preserve">                                                            </w:t>
      </w:r>
      <w:bookmarkStart w:id="13" w:name="_GoBack"/>
      <w:bookmarkEnd w:id="13"/>
      <w:r>
        <w:rPr>
          <w:rFonts w:hint="eastAsia" w:ascii="宋体" w:hAnsi="宋体" w:cs="宋体"/>
          <w:kern w:val="0"/>
          <w:sz w:val="21"/>
          <w:szCs w:val="21"/>
          <w:lang w:val="en-US" w:eastAsia="zh-CN" w:bidi="ar"/>
        </w:rPr>
        <w:t xml:space="preserve">              </w:t>
      </w:r>
      <w:r>
        <w:rPr>
          <w:rFonts w:hint="eastAsia" w:ascii="宋体" w:hAnsi="宋体" w:eastAsia="宋体" w:cs="宋体"/>
          <w:kern w:val="0"/>
          <w:sz w:val="21"/>
          <w:szCs w:val="21"/>
          <w:lang w:val="en-US" w:eastAsia="zh-CN" w:bidi="ar"/>
        </w:rPr>
        <w:t>20</w:t>
      </w:r>
      <w:r>
        <w:rPr>
          <w:rFonts w:hint="eastAsia" w:ascii="宋体" w:hAnsi="宋体" w:cs="宋体"/>
          <w:kern w:val="0"/>
          <w:sz w:val="21"/>
          <w:szCs w:val="21"/>
          <w:lang w:val="en-US" w:eastAsia="zh-CN" w:bidi="ar"/>
        </w:rPr>
        <w:t>23</w:t>
      </w:r>
      <w:r>
        <w:rPr>
          <w:rFonts w:hint="eastAsia" w:ascii="宋体" w:hAnsi="宋体" w:eastAsia="宋体" w:cs="宋体"/>
          <w:kern w:val="0"/>
          <w:sz w:val="21"/>
          <w:szCs w:val="21"/>
          <w:lang w:val="zh-CN" w:eastAsia="zh-CN" w:bidi="ar"/>
        </w:rPr>
        <w:t>年4月</w:t>
      </w:r>
      <w:r>
        <w:rPr>
          <w:rFonts w:hint="eastAsia" w:ascii="宋体" w:hAnsi="宋体" w:eastAsia="宋体" w:cs="宋体"/>
          <w:kern w:val="0"/>
          <w:sz w:val="21"/>
          <w:szCs w:val="21"/>
          <w:lang w:val="en-US" w:eastAsia="zh-CN" w:bidi="ar"/>
        </w:rPr>
        <w:t>28</w:t>
      </w:r>
      <w:r>
        <w:rPr>
          <w:rFonts w:hint="eastAsia" w:ascii="宋体" w:hAnsi="宋体" w:eastAsia="宋体" w:cs="宋体"/>
          <w:kern w:val="0"/>
          <w:sz w:val="21"/>
          <w:szCs w:val="21"/>
          <w:lang w:val="zh-CN" w:eastAsia="zh-CN" w:bidi="ar"/>
        </w:rPr>
        <w:t>日</w:t>
      </w:r>
    </w:p>
    <w:sectPr>
      <w:headerReference r:id="rId3" w:type="default"/>
      <w:footerReference r:id="rId4" w:type="default"/>
      <w:pgSz w:w="11905" w:h="16840"/>
      <w:pgMar w:top="850" w:right="1134" w:bottom="85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rPr>
      <w:t>1</w:t>
    </w:r>
    <w:r>
      <w:rPr>
        <w:rFonts w:ascii="仿宋" w:eastAsia="仿宋"/>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right"/>
    </w:pPr>
    <w:r>
      <w:rPr>
        <w:rFonts w:ascii="宋体" w:eastAsia="宋体"/>
        <w:sz w:val="18"/>
        <w:szCs w:val="18"/>
      </w:rPr>
      <w:t>德华兔宝宝装饰新材股份有限公司2022年年度报告摘要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compat>
    <w:doNotExpandShiftReturn/>
    <w:useFELayout/>
    <w:compatSetting w:name="compatibilityMode" w:uri="http://schemas.microsoft.com/office/word" w:val="14"/>
  </w:compat>
  <w:docVars>
    <w:docVar w:name="commondata" w:val="eyJoZGlkIjoiOTgzNDk3MTU1M2MxYjFmMGQ3OWYxZTlhZDIwMzM5NGMifQ=="/>
  </w:docVars>
  <w:rsids>
    <w:rsidRoot w:val="00000000"/>
    <w:rsid w:val="056E339C"/>
    <w:rsid w:val="23293323"/>
    <w:rsid w:val="26D668BF"/>
    <w:rsid w:val="283C56A3"/>
    <w:rsid w:val="2CAF5FF5"/>
    <w:rsid w:val="317E4F6B"/>
    <w:rsid w:val="4510317B"/>
    <w:rsid w:val="50B45146"/>
    <w:rsid w:val="75976816"/>
    <w:rsid w:val="76D2757C"/>
    <w:rsid w:val="79026863"/>
    <w:rsid w:val="7B985A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1935</Words>
  <Characters>2796</Characters>
  <TotalTime>23</TotalTime>
  <ScaleCrop>false</ScaleCrop>
  <LinksUpToDate>false</LinksUpToDate>
  <CharactersWithSpaces>2983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2023-04-24T11:09:00Z</dcterms:created>
  <dc:creator>admin</dc:creator>
  <cp:lastModifiedBy>朱丹莎</cp:lastModifiedBy>
  <cp:lastPrinted>2023-04-25T00:48:00Z</cp:lastPrinted>
  <dcterms:modified xsi:type="dcterms:W3CDTF">2023-04-27T05:59:34Z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8FA00E0CAB324A81BB7E990E6E47E1F9_12</vt:lpwstr>
  </property>
</Properties>
</file>